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="960" w:leftChars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填报注意事项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核实事务所基本信息是否与</w:t>
      </w:r>
      <w:r>
        <w:rPr>
          <w:rFonts w:hint="eastAsia" w:ascii="仿宋_GB2312" w:hAnsi="仿宋_GB2312" w:eastAsia="仿宋_GB2312" w:cs="仿宋_GB2312"/>
          <w:sz w:val="32"/>
          <w:szCs w:val="32"/>
        </w:rPr>
        <w:t>我市商事登记机关登记的信息一致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尤其社会统一信用代码升位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并更改为最新的信息。</w:t>
      </w:r>
    </w:p>
    <w:p>
      <w:pPr>
        <w:numPr>
          <w:numId w:val="0"/>
        </w:numPr>
      </w:pPr>
      <w:r>
        <w:drawing>
          <wp:inline distT="0" distB="0" distL="114300" distR="114300">
            <wp:extent cx="5276850" cy="5105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完成1、的事务所信息变更变更方法如下：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1135" cy="1753235"/>
            <wp:effectExtent l="0" t="0" r="571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022850" cy="2537460"/>
            <wp:effectExtent l="0" t="0" r="635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3、附件上传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4790440" cy="1395730"/>
            <wp:effectExtent l="0" t="0" r="10160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合伙人股东情况表基本信息补全，无则填无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3515" cy="1478280"/>
            <wp:effectExtent l="0" t="0" r="1333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6B694"/>
    <w:multiLevelType w:val="singleLevel"/>
    <w:tmpl w:val="6EE6B69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84AE6"/>
    <w:rsid w:val="34184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2019-04-18T01:52:00Z</dcterms:created>
  <dc:creator>kiilto</dc:creator>
  <cp:lastModifiedBy>kiilto</cp:lastModifiedBy>
  <dcterms:modified xsi:type="dcterms:W3CDTF">2019-04-18T02:33:49Z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