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讲师介绍</w:t>
      </w:r>
    </w:p>
    <w:p>
      <w:pPr>
        <w:rPr>
          <w:sz w:val="28"/>
          <w:szCs w:val="28"/>
        </w:rPr>
      </w:pPr>
    </w:p>
    <w:p>
      <w:pPr>
        <w:pStyle w:val="4"/>
        <w:numPr>
          <w:numId w:val="0"/>
        </w:numPr>
        <w:ind w:leftChars="200" w:firstLine="321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主讲人简介</w:t>
      </w:r>
    </w:p>
    <w:p>
      <w:pPr>
        <w:pStyle w:val="4"/>
        <w:numPr>
          <w:numId w:val="0"/>
        </w:num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187325</wp:posOffset>
            </wp:positionV>
            <wp:extent cx="2236470" cy="3356610"/>
            <wp:effectExtent l="0" t="0" r="11430" b="15240"/>
            <wp:wrapSquare wrapText="bothSides"/>
            <wp:docPr id="1" name="图片 1" descr="讲师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讲师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吴曼</w:t>
      </w:r>
      <w:r>
        <w:rPr>
          <w:rFonts w:hint="eastAsia" w:ascii="仿宋" w:hAnsi="仿宋" w:eastAsia="仿宋" w:cs="仿宋"/>
          <w:bCs/>
          <w:sz w:val="32"/>
          <w:szCs w:val="32"/>
        </w:rPr>
        <w:t>律师现为君合律师事务所合伙人、律师，专注于证券合规领域，包括面向上市公司、证券公司、基金公司、保险机构、境外机构投资者等提供合规培训、合规咨询、合规有效性评估、危机管理及证券争议解决等法律服务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加入君合之前，吴曼律师曾在中国证监会系统工作13年，具有丰富的一线监管及稽查执法工作经验，多次参与资本市场法规制定，查办过多起证券违法违规大要案，并曾负责前海自贸区资本市场改革创新及跨境监管工作。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培训主题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新《证券法》对会计师执业的影响及典型案例分析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主要内容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围绕《证券法》修订，解读新《证券法》中与会计</w:t>
      </w:r>
      <w:r>
        <w:rPr>
          <w:rFonts w:hint="eastAsia" w:ascii="仿宋" w:hAnsi="仿宋" w:eastAsia="仿宋" w:cs="仿宋"/>
          <w:bCs/>
          <w:sz w:val="32"/>
          <w:szCs w:val="32"/>
        </w:rPr>
        <w:t>师相关的重点条文，并结合行业典型案例，分析未来监管环境及司法环境的变化趋势及对会计师执业的影响，提出应对建议。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D"/>
    <w:rsid w:val="00072E9D"/>
    <w:rsid w:val="00110802"/>
    <w:rsid w:val="00545FF3"/>
    <w:rsid w:val="00575823"/>
    <w:rsid w:val="00902ACB"/>
    <w:rsid w:val="00C40409"/>
    <w:rsid w:val="00CC2D6D"/>
    <w:rsid w:val="00CF2A78"/>
    <w:rsid w:val="00EC689F"/>
    <w:rsid w:val="0F2C3660"/>
    <w:rsid w:val="29F96372"/>
    <w:rsid w:val="31D55D19"/>
    <w:rsid w:val="5489155A"/>
    <w:rsid w:val="737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2020-04-17T03:18:00Z</dcterms:created>
  <dc:creator>JH</dc:creator>
  <cp:lastModifiedBy>pc</cp:lastModifiedBy>
  <dcterms:modified xsi:type="dcterms:W3CDTF">2020-05-12T07:51:30Z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