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D90F6" w14:textId="77777777" w:rsidR="003735BC" w:rsidRPr="00D417BC" w:rsidRDefault="003735BC" w:rsidP="00D417BC">
      <w:pPr>
        <w:pStyle w:val="ab"/>
        <w:spacing w:line="240" w:lineRule="auto"/>
        <w:contextualSpacing/>
        <w:rPr>
          <w:rFonts w:ascii="微软雅黑" w:eastAsia="微软雅黑" w:hAnsi="微软雅黑"/>
        </w:rPr>
      </w:pPr>
      <w:r w:rsidRPr="00D417BC">
        <w:rPr>
          <w:rFonts w:ascii="微软雅黑" w:eastAsia="微软雅黑" w:hAnsi="微软雅黑" w:hint="eastAsia"/>
        </w:rPr>
        <w:t>电脑</w:t>
      </w:r>
      <w:proofErr w:type="gramStart"/>
      <w:r w:rsidRPr="00D417BC">
        <w:rPr>
          <w:rFonts w:ascii="微软雅黑" w:eastAsia="微软雅黑" w:hAnsi="微软雅黑" w:hint="eastAsia"/>
        </w:rPr>
        <w:t>端学习和微信端学习</w:t>
      </w:r>
      <w:proofErr w:type="gramEnd"/>
      <w:r w:rsidRPr="00D417BC">
        <w:rPr>
          <w:rFonts w:ascii="微软雅黑" w:eastAsia="微软雅黑" w:hAnsi="微软雅黑" w:hint="eastAsia"/>
        </w:rPr>
        <w:t>流程</w:t>
      </w:r>
    </w:p>
    <w:p w14:paraId="680F1F68" w14:textId="77777777" w:rsidR="002D7299" w:rsidRPr="00D417BC" w:rsidRDefault="002D7299" w:rsidP="00D417BC">
      <w:pPr>
        <w:pStyle w:val="ab"/>
        <w:spacing w:line="240" w:lineRule="auto"/>
        <w:contextualSpacing/>
        <w:rPr>
          <w:rFonts w:ascii="微软雅黑" w:eastAsia="微软雅黑" w:hAnsi="微软雅黑"/>
        </w:rPr>
      </w:pPr>
      <w:bookmarkStart w:id="0" w:name="_Hlk5891479"/>
      <w:r w:rsidRPr="00D417BC">
        <w:rPr>
          <w:rFonts w:ascii="微软雅黑" w:eastAsia="微软雅黑" w:hAnsi="微软雅黑" w:hint="eastAsia"/>
        </w:rPr>
        <w:t>一、电脑端学习</w:t>
      </w:r>
    </w:p>
    <w:bookmarkEnd w:id="0"/>
    <w:p w14:paraId="2734C44E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第一步：登录平台</w:t>
      </w:r>
    </w:p>
    <w:p w14:paraId="2E5BB0EA" w14:textId="77777777" w:rsidR="00686347" w:rsidRPr="00D417BC" w:rsidRDefault="00686347" w:rsidP="0029760B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第二步：选课</w:t>
      </w:r>
    </w:p>
    <w:p w14:paraId="0E9ECCEA" w14:textId="1974CD77" w:rsidR="00686347" w:rsidRPr="00D417BC" w:rsidRDefault="00686347" w:rsidP="00D417BC">
      <w:pPr>
        <w:pStyle w:val="a3"/>
        <w:numPr>
          <w:ilvl w:val="0"/>
          <w:numId w:val="1"/>
        </w:numPr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请您选择</w:t>
      </w:r>
      <w:r w:rsidR="00E518D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E518D3" w:rsidRPr="00D417BC">
        <w:rPr>
          <w:rFonts w:ascii="微软雅黑" w:eastAsia="微软雅黑" w:hAnsi="微软雅黑" w:cs="Tahoma"/>
          <w:color w:val="333333"/>
          <w:sz w:val="18"/>
          <w:szCs w:val="18"/>
        </w:rPr>
        <w:t>20</w:t>
      </w:r>
      <w:r w:rsidR="00320CAD">
        <w:rPr>
          <w:rFonts w:ascii="微软雅黑" w:eastAsia="微软雅黑" w:hAnsi="微软雅黑" w:cs="Tahoma"/>
          <w:color w:val="333333"/>
          <w:sz w:val="18"/>
          <w:szCs w:val="18"/>
        </w:rPr>
        <w:t>2</w:t>
      </w:r>
      <w:r w:rsidR="004368B5">
        <w:rPr>
          <w:rFonts w:ascii="微软雅黑" w:eastAsia="微软雅黑" w:hAnsi="微软雅黑" w:cs="Tahoma"/>
          <w:color w:val="333333"/>
          <w:sz w:val="18"/>
          <w:szCs w:val="18"/>
        </w:rPr>
        <w:t>1</w:t>
      </w:r>
      <w:r w:rsidR="00E518D3" w:rsidRPr="00D417BC">
        <w:rPr>
          <w:rFonts w:ascii="微软雅黑" w:eastAsia="微软雅黑" w:hAnsi="微软雅黑" w:cs="Tahoma"/>
          <w:color w:val="333333"/>
          <w:sz w:val="18"/>
          <w:szCs w:val="18"/>
        </w:rPr>
        <w:t>年</w:t>
      </w:r>
      <w:r w:rsidR="00342B1D">
        <w:rPr>
          <w:rFonts w:ascii="微软雅黑" w:eastAsia="微软雅黑" w:hAnsi="微软雅黑" w:cs="Tahoma" w:hint="eastAsia"/>
          <w:color w:val="333333"/>
          <w:sz w:val="18"/>
          <w:szCs w:val="18"/>
        </w:rPr>
        <w:t>非</w:t>
      </w:r>
      <w:r w:rsidR="00E518D3" w:rsidRPr="00D417BC">
        <w:rPr>
          <w:rFonts w:ascii="微软雅黑" w:eastAsia="微软雅黑" w:hAnsi="微软雅黑" w:cs="Tahoma"/>
          <w:color w:val="333333"/>
          <w:sz w:val="18"/>
          <w:szCs w:val="18"/>
        </w:rPr>
        <w:t>执业</w:t>
      </w:r>
      <w:r w:rsidR="00E518D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会员</w:t>
      </w:r>
      <w:r w:rsidR="00320CAD">
        <w:rPr>
          <w:rFonts w:ascii="微软雅黑" w:eastAsia="微软雅黑" w:hAnsi="微软雅黑" w:cs="Tahoma" w:hint="eastAsia"/>
          <w:color w:val="333333"/>
          <w:sz w:val="18"/>
          <w:szCs w:val="18"/>
        </w:rPr>
        <w:t>培训</w:t>
      </w:r>
      <w:r w:rsidR="00E518D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，并详细阅读</w:t>
      </w:r>
      <w:r w:rsidR="00E518D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E518D3" w:rsidRPr="00D417BC">
        <w:rPr>
          <w:rFonts w:ascii="微软雅黑" w:eastAsia="微软雅黑" w:hAnsi="微软雅黑" w:cs="Tahoma"/>
          <w:color w:val="333333"/>
          <w:sz w:val="18"/>
          <w:szCs w:val="18"/>
        </w:rPr>
        <w:t>培训要求</w:t>
      </w:r>
      <w:r w:rsidR="00E518D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="00342B1D">
        <w:rPr>
          <w:rFonts w:ascii="微软雅黑" w:eastAsia="微软雅黑" w:hAnsi="微软雅黑" w:cs="Tahoma" w:hint="eastAsia"/>
          <w:color w:val="333333"/>
          <w:sz w:val="18"/>
          <w:szCs w:val="18"/>
        </w:rPr>
        <w:t>，点击“点此付款已开通培训”付款</w:t>
      </w:r>
      <w:r w:rsidR="00E105ED">
        <w:rPr>
          <w:rFonts w:ascii="微软雅黑" w:eastAsia="微软雅黑" w:hAnsi="微软雅黑" w:cs="Tahoma" w:hint="eastAsia"/>
          <w:color w:val="333333"/>
          <w:sz w:val="18"/>
          <w:szCs w:val="18"/>
        </w:rPr>
        <w:t>，付费后可以申请电子发票。</w:t>
      </w:r>
    </w:p>
    <w:p w14:paraId="7D27E08E" w14:textId="5512FCB0" w:rsidR="00DF7B92" w:rsidRPr="00D417BC" w:rsidRDefault="004368B5" w:rsidP="00342B1D">
      <w:pPr>
        <w:pStyle w:val="a3"/>
        <w:wordWrap/>
        <w:contextualSpacing/>
        <w:jc w:val="center"/>
        <w:rPr>
          <w:rFonts w:ascii="微软雅黑" w:eastAsia="微软雅黑" w:hAnsi="微软雅黑" w:cs="Tahom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5474CD91" wp14:editId="2C826082">
            <wp:extent cx="5274310" cy="1656715"/>
            <wp:effectExtent l="0" t="0" r="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B1D">
        <w:rPr>
          <w:noProof/>
        </w:rPr>
        <w:drawing>
          <wp:inline distT="0" distB="0" distL="0" distR="0" wp14:anchorId="2BB0E356" wp14:editId="3C0E307C">
            <wp:extent cx="5182870" cy="73069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259" cy="73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5ED">
        <w:rPr>
          <w:noProof/>
        </w:rPr>
        <w:drawing>
          <wp:inline distT="0" distB="0" distL="0" distR="0" wp14:anchorId="0766E183" wp14:editId="10E6179D">
            <wp:extent cx="5274310" cy="7562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A696" w14:textId="77777777" w:rsidR="00FD4BBE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2、 在线选课</w:t>
      </w:r>
    </w:p>
    <w:p w14:paraId="61A9C432" w14:textId="77777777" w:rsidR="00E75335" w:rsidRPr="00D417BC" w:rsidRDefault="00E7533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（1）试听：点击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206E6A" w:rsidRPr="00D417BC">
        <w:rPr>
          <w:rFonts w:ascii="微软雅黑" w:eastAsia="微软雅黑" w:hAnsi="微软雅黑" w:cs="Tahoma"/>
          <w:color w:val="333333"/>
          <w:sz w:val="18"/>
          <w:szCs w:val="18"/>
        </w:rPr>
        <w:t>试听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可先试听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1</w:t>
      </w:r>
      <w:r w:rsidR="00206E6A" w:rsidRPr="00D417BC">
        <w:rPr>
          <w:rFonts w:ascii="微软雅黑" w:eastAsia="微软雅黑" w:hAnsi="微软雅黑" w:cs="Tahoma"/>
          <w:color w:val="333333"/>
          <w:sz w:val="18"/>
          <w:szCs w:val="18"/>
        </w:rPr>
        <w:t>5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分钟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课程。</w:t>
      </w:r>
    </w:p>
    <w:p w14:paraId="48D8AE2C" w14:textId="77777777" w:rsidR="00E2453B" w:rsidRPr="00D417BC" w:rsidRDefault="00342B1D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66249E47" wp14:editId="25D8E522">
            <wp:extent cx="5274310" cy="140271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9910" w14:textId="77777777" w:rsidR="00E75335" w:rsidRPr="00D417BC" w:rsidRDefault="00E7533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（2）选课：点击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206E6A" w:rsidRPr="00D417BC">
        <w:rPr>
          <w:rFonts w:ascii="微软雅黑" w:eastAsia="微软雅黑" w:hAnsi="微软雅黑" w:cs="Tahoma"/>
          <w:color w:val="333333"/>
          <w:sz w:val="18"/>
          <w:szCs w:val="18"/>
        </w:rPr>
        <w:t>选课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后即可看到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206E6A" w:rsidRPr="00D417BC">
        <w:rPr>
          <w:rFonts w:ascii="微软雅黑" w:eastAsia="微软雅黑" w:hAnsi="微软雅黑" w:cs="Tahoma"/>
          <w:color w:val="333333"/>
          <w:sz w:val="18"/>
          <w:szCs w:val="18"/>
        </w:rPr>
        <w:t>进入学习</w:t>
      </w:r>
      <w:r w:rsidR="00206E6A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按钮。</w:t>
      </w:r>
    </w:p>
    <w:p w14:paraId="4E62D4CD" w14:textId="77777777" w:rsidR="00B56765" w:rsidRPr="00D417BC" w:rsidRDefault="00342B1D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0CDB0CF1" wp14:editId="4A8C26E2">
            <wp:extent cx="5274310" cy="1097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9C15" w14:textId="77777777" w:rsidR="001570FC" w:rsidRPr="00D417BC" w:rsidRDefault="001570FC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</w:p>
    <w:p w14:paraId="2092A2C7" w14:textId="77777777" w:rsidR="00FD4BBE" w:rsidRPr="00D417BC" w:rsidRDefault="00FD4BBE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lastRenderedPageBreak/>
        <w:t>（</w:t>
      </w:r>
      <w:r w:rsidR="00E75335" w:rsidRPr="00D417BC">
        <w:rPr>
          <w:rFonts w:ascii="微软雅黑" w:eastAsia="微软雅黑" w:hAnsi="微软雅黑" w:cs="Tahoma"/>
          <w:color w:val="333333"/>
          <w:sz w:val="18"/>
          <w:szCs w:val="18"/>
        </w:rPr>
        <w:t>3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）取消选课：未听课前，可点击</w:t>
      </w:r>
      <w:r w:rsidR="007610F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7610F3" w:rsidRPr="00D417BC">
        <w:rPr>
          <w:rFonts w:ascii="微软雅黑" w:eastAsia="微软雅黑" w:hAnsi="微软雅黑" w:cs="Tahoma"/>
          <w:color w:val="333333"/>
          <w:sz w:val="18"/>
          <w:szCs w:val="18"/>
        </w:rPr>
        <w:t>取消</w:t>
      </w:r>
      <w:r w:rsidR="007610F3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="0062219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按钮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取消选课</w:t>
      </w:r>
      <w:r w:rsidR="00E00987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，如果已经听了此门课程，则无法再取消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。</w:t>
      </w:r>
    </w:p>
    <w:p w14:paraId="347B7B45" w14:textId="77777777" w:rsidR="00686347" w:rsidRPr="00D417BC" w:rsidRDefault="00D645DB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7DBC81D1" wp14:editId="43CD2756">
            <wp:extent cx="5274310" cy="8515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4CAC8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第三步：在线学习，完成学时</w:t>
      </w:r>
    </w:p>
    <w:p w14:paraId="0453FD6D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1、 在课程列表中点</w:t>
      </w:r>
      <w:r w:rsidR="00C33B2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“</w:t>
      </w:r>
      <w:r w:rsidR="00C33B2B" w:rsidRPr="00D417BC">
        <w:rPr>
          <w:rFonts w:ascii="微软雅黑" w:eastAsia="微软雅黑" w:hAnsi="微软雅黑" w:cs="Tahoma"/>
          <w:color w:val="333333"/>
          <w:sz w:val="18"/>
          <w:szCs w:val="18"/>
        </w:rPr>
        <w:t>进入学习</w:t>
      </w:r>
      <w:r w:rsidR="00C33B2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，进入课程学习中心。</w:t>
      </w:r>
    </w:p>
    <w:p w14:paraId="252DFCDE" w14:textId="77777777" w:rsidR="007E7FBF" w:rsidRDefault="007E7FBF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306AE430" wp14:editId="0FC0C607">
            <wp:extent cx="5274310" cy="9963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9052" w14:textId="77777777" w:rsidR="00D417BC" w:rsidRPr="00D417BC" w:rsidRDefault="00D417BC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</w:p>
    <w:p w14:paraId="778F923C" w14:textId="77777777" w:rsidR="00E60809" w:rsidRPr="00D417BC" w:rsidRDefault="00E6080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7179C40C" wp14:editId="6762E177">
            <wp:extent cx="3149600" cy="295197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6384" cy="295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F45E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2、 学习中心功能</w:t>
      </w:r>
    </w:p>
    <w:p w14:paraId="7F509BA0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   （1）课程学习：点击视频链接在线听课，</w:t>
      </w:r>
      <w:r w:rsidR="00CF3F2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在听课的过程中，2</w:t>
      </w:r>
      <w:r w:rsidR="00CF3F25" w:rsidRPr="00D417BC">
        <w:rPr>
          <w:rFonts w:ascii="微软雅黑" w:eastAsia="微软雅黑" w:hAnsi="微软雅黑" w:cs="Tahoma"/>
          <w:color w:val="333333"/>
          <w:sz w:val="18"/>
          <w:szCs w:val="18"/>
        </w:rPr>
        <w:t>0</w:t>
      </w:r>
      <w:r w:rsidR="00CF3F2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分钟会自动弹出问题，回答正确后，课程继续播放。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系统将</w:t>
      </w:r>
      <w:r w:rsidR="00CF3F2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自动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记录听课时长作为已完成学时。</w:t>
      </w:r>
    </w:p>
    <w:p w14:paraId="526F5564" w14:textId="77777777" w:rsidR="00686347" w:rsidRPr="00D417BC" w:rsidRDefault="00403B0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7707BA7" wp14:editId="1144A550">
            <wp:extent cx="3492500" cy="313473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6973" cy="314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B85E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  （2</w:t>
      </w:r>
      <w:r w:rsidR="0021455A" w:rsidRPr="00D417BC">
        <w:rPr>
          <w:rFonts w:ascii="微软雅黑" w:eastAsia="微软雅黑" w:hAnsi="微软雅黑" w:cs="Tahoma"/>
          <w:color w:val="333333"/>
          <w:sz w:val="18"/>
          <w:szCs w:val="18"/>
        </w:rPr>
        <w:t>）课后练习：课程配有课后练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习题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，也可在培训中心直接点击“练习中心”</w:t>
      </w: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。</w:t>
      </w:r>
    </w:p>
    <w:p w14:paraId="6C4CBC39" w14:textId="77777777" w:rsidR="00686347" w:rsidRPr="00D417BC" w:rsidRDefault="00403B0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1186BA45" wp14:editId="78A49220">
            <wp:extent cx="5274310" cy="1282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BAE3" w14:textId="77777777" w:rsidR="00403B05" w:rsidRPr="00D417BC" w:rsidRDefault="00E105ED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5C86C425" wp14:editId="391F9649">
            <wp:extent cx="5274310" cy="76009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6AC3" w14:textId="77777777" w:rsidR="00686347" w:rsidRPr="00D417BC" w:rsidRDefault="0064545F" w:rsidP="00D417BC">
      <w:pPr>
        <w:pStyle w:val="a3"/>
        <w:wordWrap/>
        <w:ind w:firstLineChars="50" w:firstLine="90"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 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（3）资料下载：可下载课程讲义，进行打印。</w:t>
      </w:r>
    </w:p>
    <w:p w14:paraId="1BA77B95" w14:textId="77777777" w:rsidR="00686347" w:rsidRPr="00D417BC" w:rsidRDefault="00403B0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0BD53601" wp14:editId="0D8582C8">
            <wp:extent cx="5232400" cy="19950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6233" cy="200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CB436" w14:textId="77777777" w:rsidR="00686347" w:rsidRPr="00D417BC" w:rsidRDefault="0095751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color w:val="333333"/>
          <w:sz w:val="18"/>
          <w:szCs w:val="18"/>
        </w:rPr>
        <w:t> 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（4）答疑中心：</w:t>
      </w:r>
      <w:r w:rsidR="0062219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课程内容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相关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的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提问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会在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24小时内答复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，</w:t>
      </w:r>
      <w:r w:rsidR="0062219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其他问题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可拨打4</w:t>
      </w:r>
      <w:r w:rsidR="00403B05" w:rsidRPr="00D417BC">
        <w:rPr>
          <w:rFonts w:ascii="微软雅黑" w:eastAsia="微软雅黑" w:hAnsi="微软雅黑" w:cs="Tahoma"/>
          <w:color w:val="333333"/>
          <w:sz w:val="18"/>
          <w:szCs w:val="18"/>
        </w:rPr>
        <w:t>00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电话</w:t>
      </w:r>
      <w:r w:rsidR="0062219B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咨询客服人员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，7*</w:t>
      </w:r>
      <w:r w:rsidR="00403B05" w:rsidRPr="00D417BC">
        <w:rPr>
          <w:rFonts w:ascii="微软雅黑" w:eastAsia="微软雅黑" w:hAnsi="微软雅黑" w:cs="Tahoma"/>
          <w:color w:val="333333"/>
          <w:sz w:val="18"/>
          <w:szCs w:val="18"/>
        </w:rPr>
        <w:t>24</w:t>
      </w:r>
      <w:r w:rsidR="00403B05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小时无休</w:t>
      </w:r>
      <w:r w:rsidR="00686347" w:rsidRPr="00D417BC">
        <w:rPr>
          <w:rFonts w:ascii="微软雅黑" w:eastAsia="微软雅黑" w:hAnsi="微软雅黑" w:cs="Tahoma"/>
          <w:color w:val="333333"/>
          <w:sz w:val="18"/>
          <w:szCs w:val="18"/>
        </w:rPr>
        <w:t>。</w:t>
      </w:r>
    </w:p>
    <w:p w14:paraId="4ADA2E1E" w14:textId="77777777" w:rsidR="00686347" w:rsidRDefault="00403B05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5F6F1E5" wp14:editId="7DAAC3B7">
            <wp:extent cx="2184512" cy="1860646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4512" cy="186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1F13" w14:textId="77777777" w:rsidR="00FC260D" w:rsidRPr="00D417BC" w:rsidRDefault="002D7299" w:rsidP="00D417BC">
      <w:pPr>
        <w:pStyle w:val="ab"/>
        <w:spacing w:line="240" w:lineRule="auto"/>
        <w:contextualSpacing/>
        <w:rPr>
          <w:rFonts w:ascii="微软雅黑" w:eastAsia="微软雅黑" w:hAnsi="微软雅黑"/>
        </w:rPr>
      </w:pPr>
      <w:r w:rsidRPr="00D417BC">
        <w:rPr>
          <w:rFonts w:ascii="微软雅黑" w:eastAsia="微软雅黑" w:hAnsi="微软雅黑" w:hint="eastAsia"/>
        </w:rPr>
        <w:t>二、</w:t>
      </w:r>
      <w:proofErr w:type="gramStart"/>
      <w:r w:rsidRPr="00D417BC">
        <w:rPr>
          <w:rFonts w:ascii="微软雅黑" w:eastAsia="微软雅黑" w:hAnsi="微软雅黑" w:hint="eastAsia"/>
        </w:rPr>
        <w:t>微信学习</w:t>
      </w:r>
      <w:proofErr w:type="gramEnd"/>
      <w:r w:rsidR="00DF7B92" w:rsidRPr="00D417BC">
        <w:rPr>
          <w:rFonts w:ascii="微软雅黑" w:eastAsia="微软雅黑" w:hAnsi="微软雅黑" w:hint="eastAsia"/>
        </w:rPr>
        <w:t>流程</w:t>
      </w:r>
    </w:p>
    <w:p w14:paraId="313CF525" w14:textId="77777777" w:rsidR="002D7299" w:rsidRPr="00D417BC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1、在进行绑定</w:t>
      </w:r>
      <w:proofErr w:type="gramStart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微信参加</w:t>
      </w:r>
      <w:proofErr w:type="gramEnd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学习前，请先使用电脑登录</w:t>
      </w:r>
      <w:r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培训</w:t>
      </w: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平台，完成选课，然后</w:t>
      </w:r>
      <w:r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在左侧登陆区</w:t>
      </w: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点击“绑定我的微信”。</w:t>
      </w:r>
    </w:p>
    <w:p w14:paraId="0A954CBC" w14:textId="77777777" w:rsidR="002D7299" w:rsidRPr="002D7299" w:rsidRDefault="002D7299" w:rsidP="00D417BC">
      <w:pPr>
        <w:widowControl/>
        <w:spacing w:before="100" w:beforeAutospacing="1" w:after="100" w:afterAutospacing="1"/>
        <w:contextualSpacing/>
        <w:jc w:val="left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D417BC">
        <w:rPr>
          <w:rFonts w:ascii="微软雅黑" w:eastAsia="微软雅黑" w:hAnsi="微软雅黑"/>
          <w:noProof/>
        </w:rPr>
        <w:drawing>
          <wp:inline distT="0" distB="0" distL="0" distR="0" wp14:anchorId="1B234868" wp14:editId="339D7A40">
            <wp:extent cx="2248016" cy="17526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48016" cy="17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75EE" w14:textId="77777777" w:rsidR="002D7299" w:rsidRPr="002D7299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2、在手机</w:t>
      </w:r>
      <w:proofErr w:type="gramStart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微信首页</w:t>
      </w:r>
      <w:proofErr w:type="gramEnd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界面，点击右上角菜单的加号，选择菜单项“扫一扫”，扫描网页《微信绑定说明》中的第一个二维码（或下图二维码），关注“上海国家会计学院远程信息网”。</w:t>
      </w:r>
    </w:p>
    <w:p w14:paraId="4591F6B0" w14:textId="77777777" w:rsidR="002D7299" w:rsidRPr="002D7299" w:rsidRDefault="002D7299" w:rsidP="00D417BC">
      <w:pPr>
        <w:widowControl/>
        <w:spacing w:before="100" w:beforeAutospacing="1" w:after="100" w:afterAutospacing="1"/>
        <w:contextualSpacing/>
        <w:jc w:val="left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D417BC">
        <w:rPr>
          <w:rFonts w:ascii="微软雅黑" w:eastAsia="微软雅黑" w:hAnsi="微软雅黑" w:cs="Arial"/>
          <w:noProof/>
          <w:color w:val="333333"/>
          <w:kern w:val="0"/>
          <w:sz w:val="20"/>
          <w:szCs w:val="20"/>
        </w:rPr>
        <w:drawing>
          <wp:inline distT="0" distB="0" distL="0" distR="0" wp14:anchorId="3B67B321" wp14:editId="144FD694">
            <wp:extent cx="1981200" cy="1854200"/>
            <wp:effectExtent l="0" t="0" r="0" b="0"/>
            <wp:docPr id="2" name="图片 2" descr="http://ce.esnai.net/images/upload/2018051510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.esnai.net/images/upload/2018051510194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1A5DE" w14:textId="77777777" w:rsidR="002D7299" w:rsidRPr="002D7299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3、</w:t>
      </w:r>
      <w:proofErr w:type="gramStart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绑定微信学习</w:t>
      </w:r>
      <w:proofErr w:type="gramEnd"/>
    </w:p>
    <w:p w14:paraId="3934E6A7" w14:textId="77777777" w:rsidR="002D7299" w:rsidRPr="002D7299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（1）点击</w:t>
      </w:r>
      <w:proofErr w:type="gramStart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微信菜单</w:t>
      </w:r>
      <w:proofErr w:type="gramEnd"/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项中“微信学习”中的子菜单“继续教育”，进入绑定界面。</w:t>
      </w:r>
    </w:p>
    <w:p w14:paraId="3D816691" w14:textId="77777777" w:rsidR="002D7299" w:rsidRPr="00D417BC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（2）点击“绑定新的培训”，然后扫描《微信绑定说明》中的第二个二维码。</w:t>
      </w:r>
    </w:p>
    <w:p w14:paraId="2848909C" w14:textId="77777777" w:rsidR="00E91610" w:rsidRPr="002D7299" w:rsidRDefault="00E91610" w:rsidP="00D417BC">
      <w:pPr>
        <w:widowControl/>
        <w:spacing w:before="100" w:beforeAutospacing="1" w:after="100" w:afterAutospacing="1"/>
        <w:contextualSpacing/>
        <w:jc w:val="left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D417BC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5E79A38" wp14:editId="311447DD">
            <wp:extent cx="1841500" cy="338072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6842" cy="339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728A" w14:textId="77777777" w:rsidR="002D7299" w:rsidRPr="00D417BC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（2）选择需要参加的培训名称，即可完成绑定。</w:t>
      </w:r>
    </w:p>
    <w:p w14:paraId="7796BEA5" w14:textId="77777777" w:rsidR="00E91610" w:rsidRPr="002D7299" w:rsidRDefault="00A27B81" w:rsidP="00D417BC">
      <w:pPr>
        <w:widowControl/>
        <w:spacing w:before="100" w:beforeAutospacing="1" w:after="100" w:afterAutospacing="1"/>
        <w:contextualSpacing/>
        <w:jc w:val="left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>
        <w:object w:dxaOrig="4608" w:dyaOrig="9273" w14:anchorId="7215A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37.75pt" o:ole="">
            <v:imagedata r:id="rId23" o:title=""/>
          </v:shape>
          <o:OLEObject Type="Embed" ProgID="Unknown" ShapeID="_x0000_i1025" DrawAspect="Content" ObjectID="_1677913200" r:id="rId24"/>
        </w:object>
      </w:r>
    </w:p>
    <w:p w14:paraId="6D1CA7B8" w14:textId="77777777" w:rsidR="002D7299" w:rsidRPr="00D417BC" w:rsidRDefault="002D7299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2D7299">
        <w:rPr>
          <w:rFonts w:ascii="微软雅黑" w:eastAsia="微软雅黑" w:hAnsi="微软雅黑" w:cs="Tahoma"/>
          <w:color w:val="333333"/>
          <w:sz w:val="18"/>
          <w:szCs w:val="18"/>
        </w:rPr>
        <w:t>4、绑定完成后，即可进入培训主界面，在“我的培训”列表中可看到所选择的培训名称，点击具体培训，即可进入学习。</w:t>
      </w:r>
      <w:r w:rsidR="00E91610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还可以在</w:t>
      </w:r>
      <w:proofErr w:type="gramStart"/>
      <w:r w:rsidR="00E91610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微信端做</w:t>
      </w:r>
      <w:proofErr w:type="gramEnd"/>
      <w:r w:rsidR="00E91610"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练习题以及提问等等。</w:t>
      </w:r>
    </w:p>
    <w:p w14:paraId="7F5B1E46" w14:textId="7EC80E5C" w:rsidR="00E91610" w:rsidRPr="002D7299" w:rsidRDefault="00E91610" w:rsidP="00D417BC">
      <w:pPr>
        <w:widowControl/>
        <w:spacing w:before="100" w:beforeAutospacing="1" w:after="100" w:afterAutospacing="1"/>
        <w:contextualSpacing/>
        <w:jc w:val="left"/>
        <w:rPr>
          <w:rFonts w:ascii="微软雅黑" w:eastAsia="微软雅黑" w:hAnsi="微软雅黑" w:cs="Arial"/>
          <w:color w:val="333333"/>
          <w:kern w:val="0"/>
          <w:sz w:val="20"/>
          <w:szCs w:val="20"/>
        </w:rPr>
      </w:pPr>
      <w:r w:rsidRPr="00D417BC">
        <w:rPr>
          <w:rFonts w:ascii="微软雅黑" w:eastAsia="微软雅黑" w:hAnsi="微软雅黑" w:cs="Arial" w:hint="eastAsia"/>
          <w:color w:val="333333"/>
          <w:kern w:val="0"/>
          <w:sz w:val="20"/>
          <w:szCs w:val="20"/>
        </w:rPr>
        <w:lastRenderedPageBreak/>
        <w:t xml:space="preserve"> </w:t>
      </w:r>
      <w:r w:rsidR="004368B5">
        <w:rPr>
          <w:rFonts w:ascii="微软雅黑" w:eastAsia="微软雅黑" w:hAnsi="微软雅黑" w:cs="Arial"/>
          <w:noProof/>
          <w:color w:val="333333"/>
          <w:kern w:val="0"/>
          <w:sz w:val="20"/>
          <w:szCs w:val="20"/>
        </w:rPr>
        <w:drawing>
          <wp:inline distT="0" distB="0" distL="0" distR="0" wp14:anchorId="241FE6A2" wp14:editId="4440E228">
            <wp:extent cx="1760338" cy="2921000"/>
            <wp:effectExtent l="0" t="0" r="0" b="0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669" cy="293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7BC">
        <w:rPr>
          <w:rFonts w:ascii="微软雅黑" w:eastAsia="微软雅黑" w:hAnsi="微软雅黑" w:cs="Arial"/>
          <w:color w:val="333333"/>
          <w:kern w:val="0"/>
          <w:sz w:val="20"/>
          <w:szCs w:val="20"/>
        </w:rPr>
        <w:t xml:space="preserve">    </w:t>
      </w:r>
      <w:r w:rsidR="004368B5">
        <w:rPr>
          <w:rFonts w:ascii="微软雅黑" w:eastAsia="微软雅黑" w:hAnsi="微软雅黑" w:cs="Arial"/>
          <w:noProof/>
          <w:color w:val="333333"/>
          <w:kern w:val="0"/>
          <w:sz w:val="20"/>
          <w:szCs w:val="20"/>
        </w:rPr>
        <w:drawing>
          <wp:inline distT="0" distB="0" distL="0" distR="0" wp14:anchorId="5BDBD5BC" wp14:editId="655D4EB6">
            <wp:extent cx="1901669" cy="2924175"/>
            <wp:effectExtent l="0" t="0" r="0" b="0"/>
            <wp:docPr id="13" name="图片 1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用户界面, 文本, 应用程序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686" cy="29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55AF0" w14:textId="77777777" w:rsidR="002D7299" w:rsidRDefault="00E91610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 w:hint="eastAsia"/>
          <w:color w:val="333333"/>
          <w:sz w:val="18"/>
          <w:szCs w:val="18"/>
        </w:rPr>
        <w:t>5、学习过程中，学时会自动同步到PC端。</w:t>
      </w:r>
    </w:p>
    <w:p w14:paraId="139E9E9A" w14:textId="77777777" w:rsidR="00D417BC" w:rsidRDefault="00D417BC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</w:p>
    <w:p w14:paraId="4737459F" w14:textId="77777777" w:rsidR="00D417BC" w:rsidRDefault="00D417BC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</w:p>
    <w:p w14:paraId="2E76D023" w14:textId="77777777" w:rsidR="00D417BC" w:rsidRPr="00D417BC" w:rsidRDefault="00D417BC" w:rsidP="00D417BC">
      <w:pPr>
        <w:pStyle w:val="a3"/>
        <w:wordWrap/>
        <w:contextualSpacing/>
        <w:rPr>
          <w:rFonts w:ascii="微软雅黑" w:eastAsia="微软雅黑" w:hAnsi="微软雅黑" w:cs="Tahoma"/>
          <w:color w:val="333333"/>
          <w:sz w:val="18"/>
          <w:szCs w:val="18"/>
        </w:rPr>
      </w:pPr>
    </w:p>
    <w:p w14:paraId="1F1B8D5B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备注：教务咨询电话及工作时间</w:t>
      </w:r>
    </w:p>
    <w:p w14:paraId="7F0AB033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咨询电话：400-</w:t>
      </w:r>
      <w:r w:rsidR="00403B05"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9</w:t>
      </w: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00-</w:t>
      </w:r>
      <w:r w:rsidR="00403B05"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5955</w:t>
      </w: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（免长途，只收市话费）</w:t>
      </w:r>
    </w:p>
    <w:p w14:paraId="5816940E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咨询时间：24小时客服（周末不休）</w:t>
      </w:r>
    </w:p>
    <w:p w14:paraId="753ABCEB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传真：021-69768028</w:t>
      </w:r>
    </w:p>
    <w:p w14:paraId="696E696C" w14:textId="77777777" w:rsidR="00686347" w:rsidRPr="00D417BC" w:rsidRDefault="00686347" w:rsidP="00D417BC">
      <w:pPr>
        <w:pStyle w:val="a3"/>
        <w:wordWrap/>
        <w:contextualSpacing/>
        <w:rPr>
          <w:rFonts w:ascii="微软雅黑" w:eastAsia="微软雅黑" w:hAnsi="微软雅黑" w:cs="Tahoma"/>
          <w:b/>
          <w:color w:val="333333"/>
          <w:sz w:val="18"/>
          <w:szCs w:val="18"/>
        </w:rPr>
      </w:pPr>
      <w:r w:rsidRPr="00D417BC">
        <w:rPr>
          <w:rFonts w:ascii="微软雅黑" w:eastAsia="微软雅黑" w:hAnsi="微软雅黑" w:cs="Tahoma"/>
          <w:b/>
          <w:color w:val="333333"/>
          <w:sz w:val="18"/>
          <w:szCs w:val="18"/>
        </w:rPr>
        <w:t>Email: elearn@snai.edu</w:t>
      </w:r>
    </w:p>
    <w:p w14:paraId="4BCF3D5C" w14:textId="77777777" w:rsidR="00D84B2B" w:rsidRPr="00D417BC" w:rsidRDefault="00D84B2B" w:rsidP="00D417BC">
      <w:pPr>
        <w:contextualSpacing/>
        <w:rPr>
          <w:rFonts w:ascii="微软雅黑" w:eastAsia="微软雅黑" w:hAnsi="微软雅黑"/>
        </w:rPr>
      </w:pPr>
    </w:p>
    <w:sectPr w:rsidR="00D84B2B" w:rsidRPr="00D417BC" w:rsidSect="00D8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7F38" w14:textId="77777777" w:rsidR="003D4394" w:rsidRDefault="003D4394" w:rsidP="001126F2">
      <w:r>
        <w:separator/>
      </w:r>
    </w:p>
  </w:endnote>
  <w:endnote w:type="continuationSeparator" w:id="0">
    <w:p w14:paraId="160AC3C3" w14:textId="77777777" w:rsidR="003D4394" w:rsidRDefault="003D4394" w:rsidP="0011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9DCA" w14:textId="77777777" w:rsidR="003D4394" w:rsidRDefault="003D4394" w:rsidP="001126F2">
      <w:r>
        <w:separator/>
      </w:r>
    </w:p>
  </w:footnote>
  <w:footnote w:type="continuationSeparator" w:id="0">
    <w:p w14:paraId="44BD42B3" w14:textId="77777777" w:rsidR="003D4394" w:rsidRDefault="003D4394" w:rsidP="0011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53F2"/>
    <w:multiLevelType w:val="hybridMultilevel"/>
    <w:tmpl w:val="2C621D86"/>
    <w:lvl w:ilvl="0" w:tplc="B6740D14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47"/>
    <w:rsid w:val="0000201F"/>
    <w:rsid w:val="00002712"/>
    <w:rsid w:val="00003D93"/>
    <w:rsid w:val="000076FD"/>
    <w:rsid w:val="00017F31"/>
    <w:rsid w:val="000531D6"/>
    <w:rsid w:val="000B5F0E"/>
    <w:rsid w:val="000D7E10"/>
    <w:rsid w:val="000E032B"/>
    <w:rsid w:val="001126F2"/>
    <w:rsid w:val="001570FC"/>
    <w:rsid w:val="001954E8"/>
    <w:rsid w:val="00195AF3"/>
    <w:rsid w:val="001B2B4F"/>
    <w:rsid w:val="00206E6A"/>
    <w:rsid w:val="0021455A"/>
    <w:rsid w:val="002172AE"/>
    <w:rsid w:val="002443A2"/>
    <w:rsid w:val="002558B6"/>
    <w:rsid w:val="0025724B"/>
    <w:rsid w:val="00281C06"/>
    <w:rsid w:val="0029760B"/>
    <w:rsid w:val="002D7299"/>
    <w:rsid w:val="003066ED"/>
    <w:rsid w:val="00316630"/>
    <w:rsid w:val="00320CAD"/>
    <w:rsid w:val="00342B1D"/>
    <w:rsid w:val="003735BC"/>
    <w:rsid w:val="003B71A8"/>
    <w:rsid w:val="003C63BA"/>
    <w:rsid w:val="003D4394"/>
    <w:rsid w:val="003E03C9"/>
    <w:rsid w:val="003F2350"/>
    <w:rsid w:val="00403B05"/>
    <w:rsid w:val="00410CEC"/>
    <w:rsid w:val="00436525"/>
    <w:rsid w:val="004368B5"/>
    <w:rsid w:val="004A4561"/>
    <w:rsid w:val="004B345B"/>
    <w:rsid w:val="004E240C"/>
    <w:rsid w:val="004E778E"/>
    <w:rsid w:val="005159AC"/>
    <w:rsid w:val="0057251F"/>
    <w:rsid w:val="005A02C6"/>
    <w:rsid w:val="005F142A"/>
    <w:rsid w:val="00620D6E"/>
    <w:rsid w:val="0062219B"/>
    <w:rsid w:val="0064545F"/>
    <w:rsid w:val="00686347"/>
    <w:rsid w:val="00695576"/>
    <w:rsid w:val="006B32DF"/>
    <w:rsid w:val="007610F3"/>
    <w:rsid w:val="00771E53"/>
    <w:rsid w:val="007A0B33"/>
    <w:rsid w:val="007E7FBF"/>
    <w:rsid w:val="007F44CD"/>
    <w:rsid w:val="00814AC1"/>
    <w:rsid w:val="00876BAB"/>
    <w:rsid w:val="009204AC"/>
    <w:rsid w:val="009266BE"/>
    <w:rsid w:val="00957519"/>
    <w:rsid w:val="009E755C"/>
    <w:rsid w:val="00A27B81"/>
    <w:rsid w:val="00A91F36"/>
    <w:rsid w:val="00A91F77"/>
    <w:rsid w:val="00AB4E09"/>
    <w:rsid w:val="00AC1755"/>
    <w:rsid w:val="00B51679"/>
    <w:rsid w:val="00B56765"/>
    <w:rsid w:val="00B60F03"/>
    <w:rsid w:val="00B766D8"/>
    <w:rsid w:val="00B95EBE"/>
    <w:rsid w:val="00BB0B00"/>
    <w:rsid w:val="00BF1B0B"/>
    <w:rsid w:val="00C33B2B"/>
    <w:rsid w:val="00C71A5B"/>
    <w:rsid w:val="00C9407E"/>
    <w:rsid w:val="00CC09F9"/>
    <w:rsid w:val="00CF3F25"/>
    <w:rsid w:val="00CF678C"/>
    <w:rsid w:val="00D05A80"/>
    <w:rsid w:val="00D417BC"/>
    <w:rsid w:val="00D578A3"/>
    <w:rsid w:val="00D645DB"/>
    <w:rsid w:val="00D84B2B"/>
    <w:rsid w:val="00DB72F5"/>
    <w:rsid w:val="00DE0C94"/>
    <w:rsid w:val="00DF7B92"/>
    <w:rsid w:val="00E00987"/>
    <w:rsid w:val="00E105ED"/>
    <w:rsid w:val="00E2453B"/>
    <w:rsid w:val="00E518D3"/>
    <w:rsid w:val="00E55EED"/>
    <w:rsid w:val="00E60809"/>
    <w:rsid w:val="00E63479"/>
    <w:rsid w:val="00E75335"/>
    <w:rsid w:val="00E860E1"/>
    <w:rsid w:val="00E91610"/>
    <w:rsid w:val="00EE2600"/>
    <w:rsid w:val="00EE646A"/>
    <w:rsid w:val="00F47DEE"/>
    <w:rsid w:val="00FC260D"/>
    <w:rsid w:val="00FD3A1E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E9CB"/>
  <w15:docId w15:val="{AE35927B-5C1F-48DB-825F-5EE7B3F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347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34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8634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26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26F2"/>
    <w:rPr>
      <w:sz w:val="18"/>
      <w:szCs w:val="18"/>
    </w:rPr>
  </w:style>
  <w:style w:type="character" w:styleId="aa">
    <w:name w:val="Hyperlink"/>
    <w:basedOn w:val="a0"/>
    <w:uiPriority w:val="99"/>
    <w:unhideWhenUsed/>
    <w:rsid w:val="00FD3A1E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3735B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3735BC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jp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</dc:creator>
  <cp:keywords/>
  <dc:description/>
  <cp:lastModifiedBy>光</cp:lastModifiedBy>
  <cp:revision>71</cp:revision>
  <cp:lastPrinted>2017-06-22T07:11:00Z</cp:lastPrinted>
  <dcterms:created xsi:type="dcterms:W3CDTF">2017-06-22T01:43:00Z</dcterms:created>
  <dcterms:modified xsi:type="dcterms:W3CDTF">2021-03-22T02:13:00Z</dcterms:modified>
</cp:coreProperties>
</file>