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rPr>
      </w:pPr>
    </w:p>
    <w:p>
      <w:pPr>
        <w:rPr>
          <w:rFonts w:ascii="宋体" w:hAnsi="宋体" w:eastAsia="宋体" w:cs="宋体"/>
          <w:b/>
          <w:bCs/>
        </w:rPr>
      </w:pPr>
    </w:p>
    <w:p>
      <w:pPr>
        <w:jc w:val="center"/>
        <w:rPr>
          <w:rFonts w:ascii="仿宋" w:hAnsi="仿宋" w:eastAsia="仿宋" w:cs="宋体"/>
          <w:b/>
          <w:bCs/>
          <w:sz w:val="28"/>
          <w:szCs w:val="28"/>
        </w:rPr>
      </w:pPr>
      <w:r>
        <w:rPr>
          <w:rFonts w:hint="eastAsia" w:ascii="仿宋" w:hAnsi="仿宋" w:eastAsia="仿宋" w:cs="宋体"/>
          <w:b/>
          <w:bCs/>
          <w:sz w:val="28"/>
          <w:szCs w:val="28"/>
        </w:rPr>
        <w:t>关于XX社区居民委员会支部书记、村主任及</w:t>
      </w:r>
    </w:p>
    <w:p>
      <w:pPr>
        <w:jc w:val="center"/>
        <w:rPr>
          <w:rFonts w:ascii="仿宋" w:hAnsi="仿宋" w:eastAsia="仿宋" w:cs="宋体"/>
          <w:b/>
          <w:bCs/>
          <w:sz w:val="28"/>
          <w:szCs w:val="28"/>
        </w:rPr>
      </w:pPr>
      <w:r>
        <w:rPr>
          <w:rFonts w:hint="eastAsia" w:ascii="仿宋" w:hAnsi="仿宋" w:eastAsia="仿宋" w:cs="宋体"/>
          <w:b/>
          <w:bCs/>
          <w:sz w:val="28"/>
          <w:szCs w:val="28"/>
        </w:rPr>
        <w:t>“两委”班子成员任期经济责任审计报告</w:t>
      </w:r>
    </w:p>
    <w:p>
      <w:pPr>
        <w:widowControl/>
        <w:spacing w:before="156" w:beforeLines="50" w:after="120" w:line="360" w:lineRule="auto"/>
        <w:ind w:left="640" w:leftChars="200" w:right="640" w:rightChars="200"/>
        <w:jc w:val="center"/>
        <w:rPr>
          <w:rFonts w:ascii="黑体" w:hAnsi="黑体" w:eastAsia="黑体"/>
          <w:kern w:val="10"/>
          <w:sz w:val="21"/>
          <w:szCs w:val="21"/>
        </w:rPr>
      </w:pPr>
      <w:r>
        <w:rPr>
          <w:rFonts w:hint="eastAsia" w:ascii="黑体" w:hAnsi="黑体" w:eastAsia="黑体"/>
          <w:kern w:val="10"/>
          <w:sz w:val="21"/>
          <w:szCs w:val="21"/>
        </w:rPr>
        <w:t xml:space="preserve">  号</w:t>
      </w:r>
    </w:p>
    <w:p>
      <w:pPr>
        <w:tabs>
          <w:tab w:val="left" w:pos="4410"/>
        </w:tabs>
        <w:spacing w:line="360" w:lineRule="auto"/>
        <w:jc w:val="center"/>
        <w:rPr>
          <w:rFonts w:ascii="宋体" w:hAnsi="宋体"/>
          <w:sz w:val="24"/>
          <w:szCs w:val="24"/>
        </w:rPr>
      </w:pPr>
    </w:p>
    <w:p>
      <w:pPr>
        <w:tabs>
          <w:tab w:val="left" w:pos="4410"/>
        </w:tabs>
        <w:spacing w:line="360" w:lineRule="auto"/>
        <w:jc w:val="center"/>
        <w:rPr>
          <w:rFonts w:ascii="宋体" w:hAnsi="宋体"/>
        </w:rPr>
      </w:pPr>
    </w:p>
    <w:p>
      <w:pPr>
        <w:tabs>
          <w:tab w:val="left" w:pos="4410"/>
        </w:tabs>
        <w:spacing w:line="360" w:lineRule="auto"/>
        <w:jc w:val="center"/>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before="312" w:beforeLines="100"/>
        <w:rPr>
          <w:rFonts w:ascii="黑体" w:hAnsi="黑体" w:eastAsia="黑体"/>
          <w:kern w:val="10"/>
          <w:szCs w:val="32"/>
        </w:rPr>
      </w:pPr>
    </w:p>
    <w:p>
      <w:pPr>
        <w:spacing w:before="312" w:beforeLines="100"/>
        <w:rPr>
          <w:rFonts w:ascii="黑体" w:hAnsi="黑体" w:eastAsia="黑体"/>
          <w:kern w:val="10"/>
          <w:szCs w:val="32"/>
        </w:rPr>
      </w:pPr>
    </w:p>
    <w:p>
      <w:pPr>
        <w:pStyle w:val="21"/>
        <w:spacing w:line="360" w:lineRule="auto"/>
        <w:ind w:right="669" w:rightChars="209" w:firstLine="1470" w:firstLineChars="700"/>
        <w:rPr>
          <w:rFonts w:ascii="黑体" w:hAnsi="黑体" w:eastAsia="黑体" w:cs="黑体"/>
          <w:szCs w:val="21"/>
        </w:rPr>
        <w:sectPr>
          <w:footerReference r:id="rId3" w:type="even"/>
          <w:pgSz w:w="11906" w:h="16838"/>
          <w:pgMar w:top="1304" w:right="1418" w:bottom="1304" w:left="1588" w:header="851" w:footer="992" w:gutter="0"/>
          <w:pgNumType w:start="7"/>
          <w:cols w:space="720" w:num="1"/>
          <w:docGrid w:type="lines" w:linePitch="312" w:charSpace="0"/>
        </w:sectPr>
      </w:pPr>
    </w:p>
    <w:p>
      <w:pPr>
        <w:pStyle w:val="2"/>
      </w:pPr>
    </w:p>
    <w:p>
      <w:pPr>
        <w:jc w:val="center"/>
        <w:outlineLvl w:val="0"/>
        <w:rPr>
          <w:rFonts w:ascii="仿宋" w:hAnsi="仿宋" w:eastAsia="仿宋" w:cs="宋体"/>
          <w:b/>
          <w:bCs/>
          <w:sz w:val="28"/>
          <w:szCs w:val="28"/>
        </w:rPr>
      </w:pPr>
    </w:p>
    <w:p>
      <w:pPr>
        <w:jc w:val="center"/>
        <w:outlineLvl w:val="0"/>
        <w:rPr>
          <w:rFonts w:ascii="仿宋" w:hAnsi="仿宋" w:eastAsia="仿宋" w:cs="宋体"/>
          <w:b/>
          <w:bCs/>
          <w:sz w:val="28"/>
          <w:szCs w:val="28"/>
        </w:rPr>
      </w:pPr>
    </w:p>
    <w:p>
      <w:pPr>
        <w:jc w:val="center"/>
        <w:rPr>
          <w:rFonts w:ascii="仿宋" w:hAnsi="仿宋" w:eastAsia="仿宋" w:cs="宋体"/>
          <w:b/>
          <w:bCs/>
          <w:sz w:val="28"/>
          <w:szCs w:val="28"/>
        </w:rPr>
      </w:pPr>
      <w:r>
        <w:rPr>
          <w:rFonts w:hint="eastAsia" w:ascii="仿宋" w:hAnsi="仿宋" w:eastAsia="仿宋" w:cs="宋体"/>
          <w:b/>
          <w:bCs/>
          <w:sz w:val="28"/>
          <w:szCs w:val="28"/>
        </w:rPr>
        <w:t>关于XX社区居民委员会支部书记、村主任及</w:t>
      </w:r>
    </w:p>
    <w:p>
      <w:pPr>
        <w:jc w:val="center"/>
        <w:rPr>
          <w:rFonts w:ascii="仿宋_GB2312" w:hAnsi="仿宋_GB2312" w:cs="仿宋_GB2312"/>
          <w:b/>
          <w:sz w:val="30"/>
          <w:szCs w:val="30"/>
          <w:highlight w:val="yellow"/>
        </w:rPr>
      </w:pPr>
      <w:r>
        <w:rPr>
          <w:rFonts w:hint="eastAsia" w:ascii="仿宋" w:hAnsi="仿宋" w:eastAsia="仿宋" w:cs="宋体"/>
          <w:b/>
          <w:bCs/>
          <w:sz w:val="28"/>
          <w:szCs w:val="28"/>
        </w:rPr>
        <w:t>“两委”班子成员任期经济责任审计报告</w:t>
      </w:r>
    </w:p>
    <w:p>
      <w:pPr>
        <w:spacing w:before="120" w:after="120" w:line="360" w:lineRule="auto"/>
        <w:rPr>
          <w:rFonts w:ascii="黑体" w:eastAsia="黑体"/>
          <w:b/>
          <w:spacing w:val="4"/>
          <w:sz w:val="28"/>
          <w:szCs w:val="28"/>
          <w:highlight w:val="yellow"/>
        </w:rPr>
      </w:pPr>
    </w:p>
    <w:p>
      <w:pPr>
        <w:spacing w:before="120" w:after="120" w:line="360" w:lineRule="auto"/>
        <w:jc w:val="center"/>
        <w:rPr>
          <w:rFonts w:ascii="黑体" w:eastAsia="黑体"/>
          <w:b/>
          <w:spacing w:val="4"/>
          <w:sz w:val="28"/>
          <w:szCs w:val="28"/>
        </w:rPr>
      </w:pPr>
    </w:p>
    <w:tbl>
      <w:tblPr>
        <w:tblStyle w:val="10"/>
        <w:tblW w:w="7411" w:type="dxa"/>
        <w:jc w:val="center"/>
        <w:tblLayout w:type="fixed"/>
        <w:tblCellMar>
          <w:top w:w="0" w:type="dxa"/>
          <w:left w:w="108" w:type="dxa"/>
          <w:bottom w:w="0" w:type="dxa"/>
          <w:right w:w="108" w:type="dxa"/>
        </w:tblCellMar>
      </w:tblPr>
      <w:tblGrid>
        <w:gridCol w:w="3372"/>
        <w:gridCol w:w="2328"/>
        <w:gridCol w:w="1711"/>
      </w:tblGrid>
      <w:tr>
        <w:tblPrEx>
          <w:tblCellMar>
            <w:top w:w="0" w:type="dxa"/>
            <w:left w:w="108" w:type="dxa"/>
            <w:bottom w:w="0" w:type="dxa"/>
            <w:right w:w="108" w:type="dxa"/>
          </w:tblCellMar>
        </w:tblPrEx>
        <w:trPr>
          <w:cantSplit/>
          <w:trHeight w:val="567" w:hRule="exact"/>
          <w:jc w:val="center"/>
        </w:trPr>
        <w:tc>
          <w:tcPr>
            <w:tcW w:w="3372" w:type="dxa"/>
            <w:tcBorders>
              <w:bottom w:val="single" w:color="auto" w:sz="4" w:space="0"/>
            </w:tcBorders>
          </w:tcPr>
          <w:p>
            <w:pPr>
              <w:spacing w:line="460" w:lineRule="exact"/>
              <w:jc w:val="center"/>
              <w:rPr>
                <w:rFonts w:ascii="仿宋_GB2312"/>
                <w:b/>
                <w:bCs/>
                <w:sz w:val="24"/>
              </w:rPr>
            </w:pPr>
            <w:r>
              <w:rPr>
                <w:rFonts w:hint="eastAsia" w:ascii="仿宋_GB2312"/>
                <w:b/>
                <w:bCs/>
                <w:sz w:val="24"/>
              </w:rPr>
              <w:t>目   录</w:t>
            </w:r>
          </w:p>
        </w:tc>
        <w:tc>
          <w:tcPr>
            <w:tcW w:w="2328" w:type="dxa"/>
          </w:tcPr>
          <w:p>
            <w:pPr>
              <w:spacing w:line="520" w:lineRule="exact"/>
              <w:rPr>
                <w:rFonts w:ascii="仿宋_GB2312"/>
                <w:spacing w:val="10"/>
                <w:sz w:val="24"/>
              </w:rPr>
            </w:pPr>
          </w:p>
        </w:tc>
        <w:tc>
          <w:tcPr>
            <w:tcW w:w="1711" w:type="dxa"/>
            <w:tcBorders>
              <w:bottom w:val="single" w:color="auto" w:sz="4" w:space="0"/>
            </w:tcBorders>
          </w:tcPr>
          <w:p>
            <w:pPr>
              <w:tabs>
                <w:tab w:val="left" w:pos="207"/>
              </w:tabs>
              <w:spacing w:line="520" w:lineRule="exact"/>
              <w:ind w:hanging="31"/>
              <w:jc w:val="center"/>
              <w:rPr>
                <w:rFonts w:ascii="仿宋_GB2312"/>
                <w:b/>
                <w:bCs/>
                <w:spacing w:val="10"/>
                <w:sz w:val="24"/>
              </w:rPr>
            </w:pPr>
            <w:r>
              <w:rPr>
                <w:rFonts w:hint="eastAsia" w:ascii="仿宋_GB2312"/>
                <w:b/>
                <w:bCs/>
                <w:sz w:val="24"/>
              </w:rPr>
              <w:t>页  次</w:t>
            </w:r>
          </w:p>
        </w:tc>
      </w:tr>
      <w:tr>
        <w:tblPrEx>
          <w:tblCellMar>
            <w:top w:w="0" w:type="dxa"/>
            <w:left w:w="108" w:type="dxa"/>
            <w:bottom w:w="0" w:type="dxa"/>
            <w:right w:w="108" w:type="dxa"/>
          </w:tblCellMar>
        </w:tblPrEx>
        <w:trPr>
          <w:cantSplit/>
          <w:trHeight w:val="567" w:hRule="exact"/>
          <w:jc w:val="center"/>
        </w:trPr>
        <w:tc>
          <w:tcPr>
            <w:tcW w:w="5700" w:type="dxa"/>
            <w:gridSpan w:val="2"/>
            <w:vAlign w:val="center"/>
          </w:tcPr>
          <w:p>
            <w:pPr>
              <w:spacing w:line="460" w:lineRule="exact"/>
              <w:rPr>
                <w:rFonts w:ascii="仿宋_GB2312"/>
                <w:sz w:val="24"/>
              </w:rPr>
            </w:pPr>
            <w:r>
              <w:rPr>
                <w:rFonts w:hint="eastAsia" w:ascii="仿宋_GB2312"/>
                <w:sz w:val="24"/>
              </w:rPr>
              <w:t>一、专项审计报告正文</w:t>
            </w:r>
          </w:p>
        </w:tc>
        <w:tc>
          <w:tcPr>
            <w:tcW w:w="1711" w:type="dxa"/>
            <w:tcBorders>
              <w:top w:val="single" w:color="auto" w:sz="4" w:space="0"/>
            </w:tcBorders>
          </w:tcPr>
          <w:p>
            <w:pPr>
              <w:tabs>
                <w:tab w:val="left" w:pos="207"/>
              </w:tabs>
              <w:spacing w:line="520" w:lineRule="exact"/>
              <w:ind w:hanging="31"/>
              <w:jc w:val="center"/>
              <w:rPr>
                <w:rFonts w:ascii="仿宋_GB2312"/>
                <w:sz w:val="24"/>
              </w:rPr>
            </w:pPr>
            <w:r>
              <w:rPr>
                <w:rFonts w:hint="eastAsia" w:ascii="仿宋_GB2312"/>
                <w:sz w:val="24"/>
              </w:rPr>
              <w:t>1-12</w:t>
            </w:r>
          </w:p>
        </w:tc>
      </w:tr>
      <w:tr>
        <w:tblPrEx>
          <w:tblCellMar>
            <w:top w:w="0" w:type="dxa"/>
            <w:left w:w="108" w:type="dxa"/>
            <w:bottom w:w="0" w:type="dxa"/>
            <w:right w:w="108" w:type="dxa"/>
          </w:tblCellMar>
        </w:tblPrEx>
        <w:trPr>
          <w:cantSplit/>
          <w:trHeight w:val="635" w:hRule="exact"/>
          <w:jc w:val="center"/>
        </w:trPr>
        <w:tc>
          <w:tcPr>
            <w:tcW w:w="5700" w:type="dxa"/>
            <w:gridSpan w:val="2"/>
          </w:tcPr>
          <w:p>
            <w:pPr>
              <w:pStyle w:val="2"/>
            </w:pPr>
          </w:p>
        </w:tc>
        <w:tc>
          <w:tcPr>
            <w:tcW w:w="1711" w:type="dxa"/>
          </w:tcPr>
          <w:p>
            <w:pPr>
              <w:tabs>
                <w:tab w:val="left" w:pos="207"/>
                <w:tab w:val="left" w:pos="879"/>
              </w:tabs>
              <w:spacing w:line="520" w:lineRule="exact"/>
              <w:ind w:hanging="31"/>
              <w:jc w:val="center"/>
              <w:rPr>
                <w:rFonts w:ascii="仿宋_GB2312"/>
                <w:spacing w:val="10"/>
                <w:sz w:val="24"/>
              </w:rPr>
            </w:pPr>
          </w:p>
        </w:tc>
      </w:tr>
      <w:tr>
        <w:tblPrEx>
          <w:tblCellMar>
            <w:top w:w="0" w:type="dxa"/>
            <w:left w:w="108" w:type="dxa"/>
            <w:bottom w:w="0" w:type="dxa"/>
            <w:right w:w="108" w:type="dxa"/>
          </w:tblCellMar>
        </w:tblPrEx>
        <w:trPr>
          <w:cantSplit/>
          <w:trHeight w:val="635" w:hRule="exact"/>
          <w:jc w:val="center"/>
        </w:trPr>
        <w:tc>
          <w:tcPr>
            <w:tcW w:w="5700" w:type="dxa"/>
            <w:gridSpan w:val="2"/>
          </w:tcPr>
          <w:p>
            <w:pPr>
              <w:spacing w:line="460" w:lineRule="exact"/>
              <w:jc w:val="left"/>
              <w:rPr>
                <w:rFonts w:ascii="仿宋_GB2312"/>
                <w:sz w:val="28"/>
                <w:szCs w:val="28"/>
              </w:rPr>
            </w:pPr>
            <w:r>
              <w:rPr>
                <w:rFonts w:hint="eastAsia" w:ascii="仿宋_GB2312"/>
                <w:sz w:val="24"/>
              </w:rPr>
              <w:t>二、鉴证机构执业许可证及营业执照复印件</w:t>
            </w:r>
          </w:p>
          <w:p>
            <w:pPr>
              <w:pStyle w:val="2"/>
            </w:pPr>
          </w:p>
        </w:tc>
        <w:tc>
          <w:tcPr>
            <w:tcW w:w="1711" w:type="dxa"/>
          </w:tcPr>
          <w:p>
            <w:pPr>
              <w:tabs>
                <w:tab w:val="left" w:pos="207"/>
                <w:tab w:val="left" w:pos="879"/>
              </w:tabs>
              <w:spacing w:line="520" w:lineRule="exact"/>
              <w:ind w:hanging="31"/>
              <w:jc w:val="center"/>
              <w:rPr>
                <w:rFonts w:ascii="仿宋_GB2312"/>
                <w:spacing w:val="10"/>
                <w:sz w:val="24"/>
              </w:rPr>
            </w:pPr>
            <w:r>
              <w:rPr>
                <w:rFonts w:hint="eastAsia" w:ascii="仿宋_GB2312"/>
                <w:spacing w:val="10"/>
                <w:sz w:val="24"/>
              </w:rPr>
              <w:t>13</w:t>
            </w:r>
            <w:r>
              <w:rPr>
                <w:rFonts w:ascii="仿宋_GB2312"/>
                <w:spacing w:val="10"/>
                <w:sz w:val="24"/>
              </w:rPr>
              <w:t>-</w:t>
            </w:r>
            <w:r>
              <w:rPr>
                <w:rFonts w:hint="eastAsia" w:ascii="仿宋_GB2312"/>
                <w:spacing w:val="10"/>
                <w:sz w:val="24"/>
              </w:rPr>
              <w:t>14</w:t>
            </w:r>
          </w:p>
        </w:tc>
      </w:tr>
    </w:tbl>
    <w:p>
      <w:pPr>
        <w:jc w:val="center"/>
        <w:rPr>
          <w:rFonts w:ascii="仿宋" w:hAnsi="仿宋" w:eastAsia="仿宋" w:cs="宋体"/>
          <w:b/>
          <w:bCs/>
          <w:sz w:val="28"/>
          <w:szCs w:val="28"/>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jc w:val="center"/>
        <w:rPr>
          <w:rFonts w:ascii="仿宋" w:hAnsi="仿宋" w:eastAsia="仿宋" w:cs="宋体"/>
          <w:b/>
          <w:bCs/>
          <w:sz w:val="28"/>
          <w:szCs w:val="28"/>
        </w:rPr>
      </w:pPr>
      <w:r>
        <w:rPr>
          <w:rFonts w:hint="eastAsia" w:ascii="仿宋" w:hAnsi="仿宋" w:eastAsia="仿宋" w:cs="宋体"/>
          <w:b/>
          <w:bCs/>
          <w:sz w:val="28"/>
          <w:szCs w:val="28"/>
        </w:rPr>
        <w:t>关于XX社区居民委员会支部书记、村主任及</w:t>
      </w:r>
    </w:p>
    <w:p>
      <w:pPr>
        <w:jc w:val="center"/>
        <w:rPr>
          <w:rFonts w:ascii="仿宋" w:hAnsi="仿宋" w:eastAsia="仿宋" w:cs="宋体"/>
          <w:b/>
          <w:bCs/>
          <w:sz w:val="28"/>
          <w:szCs w:val="28"/>
        </w:rPr>
      </w:pPr>
      <w:r>
        <w:rPr>
          <w:rFonts w:hint="eastAsia" w:ascii="仿宋" w:hAnsi="仿宋" w:eastAsia="仿宋" w:cs="宋体"/>
          <w:b/>
          <w:bCs/>
          <w:sz w:val="28"/>
          <w:szCs w:val="28"/>
        </w:rPr>
        <w:t>“两委”班子成员任期经济责任审计报告</w:t>
      </w:r>
    </w:p>
    <w:p>
      <w:pPr>
        <w:ind w:left="2028" w:hanging="2028"/>
        <w:rPr>
          <w:rFonts w:hint="eastAsia" w:ascii="仿宋" w:hAnsi="仿宋" w:eastAsia="仿宋"/>
          <w:b/>
          <w:sz w:val="28"/>
          <w:szCs w:val="28"/>
        </w:rPr>
      </w:pPr>
    </w:p>
    <w:p>
      <w:pPr>
        <w:ind w:left="2028" w:hanging="2028"/>
        <w:rPr>
          <w:rFonts w:ascii="仿宋" w:hAnsi="仿宋" w:eastAsia="仿宋"/>
          <w:b/>
          <w:sz w:val="28"/>
          <w:szCs w:val="28"/>
        </w:rPr>
      </w:pPr>
      <w:r>
        <w:rPr>
          <w:rFonts w:hint="eastAsia" w:ascii="仿宋" w:hAnsi="仿宋" w:eastAsia="仿宋"/>
          <w:b/>
          <w:sz w:val="28"/>
          <w:szCs w:val="28"/>
        </w:rPr>
        <w:t>XX人民政府:</w:t>
      </w:r>
    </w:p>
    <w:p>
      <w:pPr>
        <w:ind w:firstLine="560" w:firstLineChars="200"/>
        <w:rPr>
          <w:rFonts w:ascii="仿宋" w:hAnsi="仿宋" w:eastAsia="仿宋"/>
          <w:sz w:val="28"/>
          <w:szCs w:val="28"/>
        </w:rPr>
      </w:pPr>
      <w:r>
        <w:rPr>
          <w:rFonts w:hint="eastAsia" w:ascii="仿宋" w:hAnsi="仿宋" w:eastAsia="仿宋"/>
          <w:sz w:val="28"/>
          <w:szCs w:val="28"/>
        </w:rPr>
        <w:t>我们接受委托，对XX社区居民委员会（以下简称：“XX居委会”）支部书记、村主任及“两委”班子成员任期2017年7月1日至2020年9月30日任职期间履行的经济责任情况进行审计。</w:t>
      </w:r>
    </w:p>
    <w:p>
      <w:pPr>
        <w:ind w:firstLine="560" w:firstLineChars="200"/>
        <w:rPr>
          <w:rFonts w:ascii="仿宋" w:hAnsi="仿宋" w:eastAsia="仿宋"/>
          <w:sz w:val="28"/>
          <w:szCs w:val="28"/>
        </w:rPr>
      </w:pPr>
      <w:r>
        <w:rPr>
          <w:rFonts w:hint="eastAsia" w:ascii="仿宋" w:hAnsi="仿宋" w:eastAsia="仿宋"/>
          <w:sz w:val="28"/>
          <w:szCs w:val="28"/>
        </w:rPr>
        <w:t>我们按照《中国注册会计师审计准则》、《中华人民共和国村民委员会组织法》、《中华人民共和国会计法》、《中共中央办公厅、国务院办公厅关于健全和完善村务公开和民主管理制度的意见》（中办发[2014]17号文件）有关“村干部任期届满或离任时必须审计”的规定以及《村集体经济组织会计制度》的规定计划和实施审计工作，在审计过程中，我们查阅了该单位的报表、账册、会计凭证及与经济活动相关的文件。XX居委会和支部书记、村主任及“两委”班子成员对其提供的会计资料及其他相关资料的真实性和完整性负责,并对此作出了书面承诺。我们的责任是在实施审计工作的基础上对支部书记、村主任及“两委”班子成员履行的经济责任情况发表审计意见并出具审计报告。</w:t>
      </w:r>
    </w:p>
    <w:p>
      <w:pPr>
        <w:numPr>
          <w:ilvl w:val="0"/>
          <w:numId w:val="1"/>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基本情况</w:t>
      </w:r>
    </w:p>
    <w:p>
      <w:pPr>
        <w:numPr>
          <w:ilvl w:val="0"/>
          <w:numId w:val="2"/>
        </w:numPr>
        <w:ind w:firstLine="562" w:firstLineChars="200"/>
      </w:pPr>
      <w:r>
        <w:rPr>
          <w:rFonts w:hint="eastAsia" w:ascii="仿宋" w:hAnsi="仿宋" w:eastAsia="仿宋"/>
          <w:b/>
          <w:bCs/>
          <w:sz w:val="28"/>
          <w:szCs w:val="28"/>
        </w:rPr>
        <w:t>村委基本情况</w:t>
      </w:r>
    </w:p>
    <w:p>
      <w:pPr>
        <w:ind w:firstLine="560" w:firstLineChars="200"/>
        <w:rPr>
          <w:bCs/>
          <w:sz w:val="28"/>
          <w:szCs w:val="28"/>
        </w:rPr>
      </w:pPr>
      <w:r>
        <w:rPr>
          <w:rFonts w:hint="eastAsia"/>
          <w:bCs/>
          <w:sz w:val="28"/>
          <w:szCs w:val="28"/>
        </w:rPr>
        <w:t>XX居委会位于   ，共700户，人口共3000多人左右。</w:t>
      </w:r>
    </w:p>
    <w:p>
      <w:pPr>
        <w:ind w:firstLine="560" w:firstLineChars="200"/>
        <w:rPr>
          <w:rFonts w:ascii="仿宋" w:hAnsi="仿宋" w:eastAsia="仿宋"/>
          <w:sz w:val="28"/>
          <w:szCs w:val="28"/>
        </w:rPr>
      </w:pPr>
      <w:r>
        <w:rPr>
          <w:rFonts w:hint="eastAsia" w:ascii="仿宋" w:hAnsi="仿宋" w:eastAsia="仿宋"/>
          <w:sz w:val="28"/>
          <w:szCs w:val="28"/>
        </w:rPr>
        <w:t>XX居委会的经济收入主要是：上级补助收入。</w:t>
      </w:r>
    </w:p>
    <w:p>
      <w:pPr>
        <w:ind w:firstLine="560" w:firstLineChars="200"/>
        <w:rPr>
          <w:rFonts w:ascii="仿宋" w:hAnsi="仿宋" w:eastAsia="仿宋"/>
          <w:sz w:val="28"/>
          <w:szCs w:val="28"/>
        </w:rPr>
      </w:pPr>
      <w:r>
        <w:rPr>
          <w:rFonts w:hint="eastAsia" w:ascii="仿宋" w:hAnsi="仿宋" w:eastAsia="仿宋"/>
          <w:sz w:val="28"/>
          <w:szCs w:val="28"/>
        </w:rPr>
        <w:t>XX居委会执行《村集体经济组织会计制度》制度，根据海财[2013]79号文《关于全面落实村账镇代管工作的通知》，实行村账镇代管制，撤销原设置的会计和出纳岗位，改设置一名报账员岗位，报账员为：徐静，定期到海丰县XX镇农村会计服务中心办理报账业务。</w:t>
      </w:r>
    </w:p>
    <w:p>
      <w:pPr>
        <w:ind w:firstLine="560" w:firstLineChars="200"/>
        <w:rPr>
          <w:rFonts w:ascii="宋体" w:hAnsi="宋体" w:cs="宋体"/>
          <w:bCs/>
          <w:sz w:val="28"/>
          <w:szCs w:val="28"/>
        </w:rPr>
      </w:pPr>
      <w:r>
        <w:rPr>
          <w:rFonts w:hint="eastAsia"/>
          <w:bCs/>
          <w:sz w:val="28"/>
          <w:szCs w:val="28"/>
        </w:rPr>
        <w:t>本届支部书记、村主任及“两委”班子成员共6人，名单如下：</w:t>
      </w:r>
    </w:p>
    <w:tbl>
      <w:tblPr>
        <w:tblStyle w:val="10"/>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5"/>
        <w:gridCol w:w="2744"/>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tblHeader/>
          <w:jc w:val="center"/>
        </w:trPr>
        <w:tc>
          <w:tcPr>
            <w:tcW w:w="875" w:type="dxa"/>
            <w:tcBorders>
              <w:bottom w:val="single" w:color="auto" w:sz="4" w:space="0"/>
            </w:tcBorders>
            <w:vAlign w:val="center"/>
          </w:tcPr>
          <w:p>
            <w:pPr>
              <w:widowControl/>
              <w:snapToGrid w:val="0"/>
              <w:jc w:val="center"/>
              <w:textAlignment w:val="center"/>
              <w:rPr>
                <w:rFonts w:ascii="宋体" w:hAnsi="宋体" w:cs="宋体"/>
                <w:b/>
                <w:sz w:val="28"/>
                <w:szCs w:val="28"/>
              </w:rPr>
            </w:pPr>
            <w:r>
              <w:rPr>
                <w:rFonts w:hint="eastAsia" w:ascii="宋体" w:hAnsi="宋体" w:cs="宋体"/>
                <w:b/>
                <w:sz w:val="28"/>
                <w:szCs w:val="28"/>
              </w:rPr>
              <w:t>序号</w:t>
            </w:r>
          </w:p>
        </w:tc>
        <w:tc>
          <w:tcPr>
            <w:tcW w:w="2744" w:type="dxa"/>
            <w:tcBorders>
              <w:bottom w:val="single" w:color="auto" w:sz="4" w:space="0"/>
            </w:tcBorders>
            <w:vAlign w:val="center"/>
          </w:tcPr>
          <w:p>
            <w:pPr>
              <w:widowControl/>
              <w:snapToGrid w:val="0"/>
              <w:jc w:val="center"/>
              <w:textAlignment w:val="center"/>
              <w:rPr>
                <w:rFonts w:ascii="宋体" w:hAnsi="宋体" w:cs="宋体"/>
                <w:b/>
                <w:sz w:val="28"/>
                <w:szCs w:val="28"/>
              </w:rPr>
            </w:pPr>
            <w:r>
              <w:rPr>
                <w:rFonts w:hint="eastAsia" w:ascii="宋体" w:hAnsi="宋体" w:cs="宋体"/>
                <w:b/>
                <w:sz w:val="28"/>
                <w:szCs w:val="28"/>
              </w:rPr>
              <w:t>姓名</w:t>
            </w:r>
          </w:p>
        </w:tc>
        <w:tc>
          <w:tcPr>
            <w:tcW w:w="4456" w:type="dxa"/>
            <w:tcBorders>
              <w:bottom w:val="single" w:color="auto" w:sz="4" w:space="0"/>
            </w:tcBorders>
            <w:vAlign w:val="center"/>
          </w:tcPr>
          <w:p>
            <w:pPr>
              <w:widowControl/>
              <w:snapToGrid w:val="0"/>
              <w:jc w:val="center"/>
              <w:textAlignment w:val="center"/>
              <w:rPr>
                <w:rFonts w:ascii="宋体" w:hAnsi="宋体" w:cs="宋体"/>
                <w:b/>
                <w:sz w:val="28"/>
                <w:szCs w:val="28"/>
              </w:rPr>
            </w:pPr>
            <w:r>
              <w:rPr>
                <w:rFonts w:hint="eastAsia" w:ascii="宋体" w:hAnsi="宋体" w:cs="宋体"/>
                <w:b/>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875" w:type="dxa"/>
            <w:vAlign w:val="center"/>
          </w:tcPr>
          <w:p>
            <w:pPr>
              <w:widowControl/>
              <w:snapToGrid w:val="0"/>
              <w:jc w:val="center"/>
              <w:textAlignment w:val="center"/>
              <w:rPr>
                <w:rFonts w:ascii="宋体" w:hAnsi="宋体" w:cs="宋体"/>
                <w:bCs/>
                <w:sz w:val="28"/>
                <w:szCs w:val="28"/>
              </w:rPr>
            </w:pPr>
            <w:r>
              <w:rPr>
                <w:rFonts w:hint="eastAsia" w:ascii="宋体" w:hAnsi="宋体" w:cs="宋体"/>
                <w:bCs/>
                <w:sz w:val="28"/>
                <w:szCs w:val="28"/>
              </w:rPr>
              <w:t>1</w:t>
            </w:r>
          </w:p>
        </w:tc>
        <w:tc>
          <w:tcPr>
            <w:tcW w:w="2744" w:type="dxa"/>
            <w:vAlign w:val="center"/>
          </w:tcPr>
          <w:p>
            <w:pPr>
              <w:widowControl/>
              <w:snapToGrid w:val="0"/>
              <w:jc w:val="center"/>
              <w:textAlignment w:val="center"/>
              <w:rPr>
                <w:rFonts w:ascii="宋体" w:hAnsi="宋体" w:cs="宋体"/>
                <w:bCs/>
                <w:sz w:val="28"/>
                <w:szCs w:val="28"/>
              </w:rPr>
            </w:pPr>
          </w:p>
        </w:tc>
        <w:tc>
          <w:tcPr>
            <w:tcW w:w="4456" w:type="dxa"/>
            <w:vAlign w:val="center"/>
          </w:tcPr>
          <w:p>
            <w:pPr>
              <w:widowControl/>
              <w:snapToGrid w:val="0"/>
              <w:jc w:val="center"/>
              <w:rPr>
                <w:rFonts w:ascii="仿宋" w:hAnsi="仿宋" w:cs="仿宋"/>
                <w:b/>
                <w:color w:val="000000" w:themeColor="text1"/>
                <w:sz w:val="21"/>
                <w:szCs w:val="21"/>
                <w14:textFill>
                  <w14:solidFill>
                    <w14:schemeClr w14:val="tx1"/>
                  </w14:solidFill>
                </w14:textFill>
              </w:rPr>
            </w:pPr>
            <w:r>
              <w:rPr>
                <w:rFonts w:hint="eastAsia"/>
                <w:bCs/>
                <w:sz w:val="28"/>
                <w:szCs w:val="28"/>
              </w:rPr>
              <w:t>支部</w:t>
            </w:r>
            <w:r>
              <w:rPr>
                <w:rFonts w:hint="eastAsia" w:ascii="宋体" w:hAnsi="宋体" w:cs="宋体"/>
                <w:bCs/>
                <w:sz w:val="28"/>
                <w:szCs w:val="28"/>
              </w:rPr>
              <w:t>书记、居委主任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5" w:hRule="atLeast"/>
          <w:jc w:val="center"/>
        </w:trPr>
        <w:tc>
          <w:tcPr>
            <w:tcW w:w="875" w:type="dxa"/>
            <w:vAlign w:val="center"/>
          </w:tcPr>
          <w:p>
            <w:pPr>
              <w:widowControl/>
              <w:snapToGrid w:val="0"/>
              <w:jc w:val="center"/>
              <w:textAlignment w:val="center"/>
              <w:rPr>
                <w:rFonts w:ascii="宋体" w:hAnsi="宋体" w:cs="宋体"/>
                <w:bCs/>
                <w:sz w:val="28"/>
                <w:szCs w:val="28"/>
              </w:rPr>
            </w:pPr>
            <w:r>
              <w:rPr>
                <w:rFonts w:hint="eastAsia" w:ascii="宋体" w:hAnsi="宋体" w:cs="宋体"/>
                <w:bCs/>
                <w:sz w:val="28"/>
                <w:szCs w:val="28"/>
              </w:rPr>
              <w:t>2</w:t>
            </w:r>
          </w:p>
        </w:tc>
        <w:tc>
          <w:tcPr>
            <w:tcW w:w="2744" w:type="dxa"/>
            <w:vAlign w:val="center"/>
          </w:tcPr>
          <w:p>
            <w:pPr>
              <w:widowControl/>
              <w:snapToGrid w:val="0"/>
              <w:jc w:val="center"/>
              <w:textAlignment w:val="center"/>
              <w:rPr>
                <w:rFonts w:ascii="仿宋" w:hAnsi="仿宋" w:eastAsia="仿宋" w:cs="仿宋"/>
                <w:bCs/>
                <w:sz w:val="28"/>
                <w:szCs w:val="28"/>
              </w:rPr>
            </w:pPr>
          </w:p>
        </w:tc>
        <w:tc>
          <w:tcPr>
            <w:tcW w:w="4456" w:type="dxa"/>
            <w:vAlign w:val="center"/>
          </w:tcPr>
          <w:p>
            <w:pPr>
              <w:widowControl/>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sz w:val="28"/>
                <w:szCs w:val="28"/>
              </w:rPr>
              <w:t>支部副书记、居委委员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6" w:hRule="atLeast"/>
          <w:jc w:val="center"/>
        </w:trPr>
        <w:tc>
          <w:tcPr>
            <w:tcW w:w="875" w:type="dxa"/>
            <w:vAlign w:val="center"/>
          </w:tcPr>
          <w:p>
            <w:pPr>
              <w:widowControl/>
              <w:snapToGrid w:val="0"/>
              <w:jc w:val="center"/>
              <w:textAlignment w:val="center"/>
              <w:rPr>
                <w:rFonts w:ascii="宋体" w:hAnsi="宋体" w:cs="宋体"/>
                <w:bCs/>
                <w:sz w:val="28"/>
                <w:szCs w:val="28"/>
              </w:rPr>
            </w:pPr>
            <w:r>
              <w:rPr>
                <w:rFonts w:hint="eastAsia" w:ascii="宋体" w:hAnsi="宋体" w:cs="宋体"/>
                <w:bCs/>
                <w:sz w:val="28"/>
                <w:szCs w:val="28"/>
              </w:rPr>
              <w:t>3</w:t>
            </w:r>
          </w:p>
        </w:tc>
        <w:tc>
          <w:tcPr>
            <w:tcW w:w="2744" w:type="dxa"/>
            <w:vAlign w:val="center"/>
          </w:tcPr>
          <w:p>
            <w:pPr>
              <w:widowControl/>
              <w:snapToGrid w:val="0"/>
              <w:jc w:val="center"/>
              <w:textAlignment w:val="center"/>
              <w:rPr>
                <w:rFonts w:ascii="仿宋" w:hAnsi="仿宋" w:eastAsia="仿宋" w:cs="仿宋"/>
                <w:bCs/>
                <w:sz w:val="28"/>
                <w:szCs w:val="28"/>
              </w:rPr>
            </w:pPr>
          </w:p>
        </w:tc>
        <w:tc>
          <w:tcPr>
            <w:tcW w:w="4456" w:type="dxa"/>
            <w:vAlign w:val="center"/>
          </w:tcPr>
          <w:p>
            <w:pPr>
              <w:widowControl/>
              <w:snapToGrid w:val="0"/>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Cs/>
                <w:sz w:val="28"/>
                <w:szCs w:val="28"/>
              </w:rPr>
              <w:t>支部委员、居委副主任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75" w:type="dxa"/>
            <w:vAlign w:val="center"/>
          </w:tcPr>
          <w:p>
            <w:pPr>
              <w:widowControl/>
              <w:snapToGrid w:val="0"/>
              <w:jc w:val="center"/>
              <w:textAlignment w:val="center"/>
              <w:rPr>
                <w:rFonts w:ascii="宋体" w:hAnsi="宋体" w:cs="宋体"/>
                <w:bCs/>
                <w:sz w:val="28"/>
                <w:szCs w:val="28"/>
              </w:rPr>
            </w:pPr>
            <w:r>
              <w:rPr>
                <w:rFonts w:hint="eastAsia" w:ascii="宋体" w:hAnsi="宋体" w:cs="宋体"/>
                <w:bCs/>
                <w:sz w:val="28"/>
                <w:szCs w:val="28"/>
              </w:rPr>
              <w:t>4</w:t>
            </w:r>
          </w:p>
        </w:tc>
        <w:tc>
          <w:tcPr>
            <w:tcW w:w="2744" w:type="dxa"/>
            <w:vAlign w:val="center"/>
          </w:tcPr>
          <w:p>
            <w:pPr>
              <w:widowControl/>
              <w:snapToGrid w:val="0"/>
              <w:jc w:val="center"/>
              <w:textAlignment w:val="center"/>
              <w:rPr>
                <w:rFonts w:ascii="仿宋" w:hAnsi="仿宋" w:eastAsia="仿宋" w:cs="仿宋"/>
                <w:bCs/>
                <w:sz w:val="28"/>
                <w:szCs w:val="28"/>
              </w:rPr>
            </w:pPr>
          </w:p>
        </w:tc>
        <w:tc>
          <w:tcPr>
            <w:tcW w:w="4456" w:type="dxa"/>
            <w:vAlign w:val="center"/>
          </w:tcPr>
          <w:p>
            <w:pPr>
              <w:widowControl/>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居委委员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3" w:hRule="atLeast"/>
          <w:jc w:val="center"/>
        </w:trPr>
        <w:tc>
          <w:tcPr>
            <w:tcW w:w="875" w:type="dxa"/>
            <w:vAlign w:val="center"/>
          </w:tcPr>
          <w:p>
            <w:pPr>
              <w:widowControl/>
              <w:snapToGrid w:val="0"/>
              <w:jc w:val="center"/>
              <w:textAlignment w:val="center"/>
              <w:rPr>
                <w:rFonts w:ascii="宋体" w:hAnsi="宋体" w:cs="宋体"/>
                <w:bCs/>
                <w:sz w:val="28"/>
                <w:szCs w:val="28"/>
              </w:rPr>
            </w:pPr>
            <w:r>
              <w:rPr>
                <w:rFonts w:hint="eastAsia" w:ascii="宋体" w:hAnsi="宋体" w:cs="宋体"/>
                <w:bCs/>
                <w:sz w:val="28"/>
                <w:szCs w:val="28"/>
              </w:rPr>
              <w:t>5</w:t>
            </w:r>
          </w:p>
        </w:tc>
        <w:tc>
          <w:tcPr>
            <w:tcW w:w="2744" w:type="dxa"/>
            <w:vAlign w:val="center"/>
          </w:tcPr>
          <w:p>
            <w:pPr>
              <w:widowControl/>
              <w:snapToGrid w:val="0"/>
              <w:jc w:val="center"/>
              <w:textAlignment w:val="center"/>
              <w:rPr>
                <w:rFonts w:ascii="仿宋" w:hAnsi="仿宋" w:eastAsia="仿宋" w:cs="仿宋"/>
                <w:bCs/>
                <w:sz w:val="28"/>
                <w:szCs w:val="28"/>
              </w:rPr>
            </w:pPr>
          </w:p>
        </w:tc>
        <w:tc>
          <w:tcPr>
            <w:tcW w:w="4456" w:type="dxa"/>
            <w:vAlign w:val="center"/>
          </w:tcPr>
          <w:p>
            <w:pPr>
              <w:widowControl/>
              <w:snapToGrid w:val="0"/>
              <w:jc w:val="center"/>
              <w:rPr>
                <w:rFonts w:ascii="仿宋" w:hAnsi="仿宋" w:eastAsia="仿宋" w:cs="仿宋"/>
                <w:bCs/>
                <w:sz w:val="28"/>
                <w:szCs w:val="28"/>
              </w:rPr>
            </w:pPr>
            <w:r>
              <w:rPr>
                <w:rFonts w:hint="eastAsia" w:ascii="仿宋" w:hAnsi="仿宋" w:eastAsia="仿宋" w:cs="仿宋"/>
                <w:bCs/>
                <w:sz w:val="28"/>
                <w:szCs w:val="28"/>
              </w:rPr>
              <w:t>居委委员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3" w:hRule="atLeast"/>
          <w:jc w:val="center"/>
        </w:trPr>
        <w:tc>
          <w:tcPr>
            <w:tcW w:w="875" w:type="dxa"/>
            <w:vAlign w:val="center"/>
          </w:tcPr>
          <w:p>
            <w:pPr>
              <w:widowControl/>
              <w:snapToGrid w:val="0"/>
              <w:jc w:val="center"/>
              <w:textAlignment w:val="center"/>
              <w:rPr>
                <w:rFonts w:ascii="宋体" w:hAnsi="宋体" w:cs="宋体"/>
                <w:bCs/>
                <w:sz w:val="28"/>
                <w:szCs w:val="28"/>
              </w:rPr>
            </w:pPr>
            <w:r>
              <w:rPr>
                <w:rFonts w:hint="eastAsia" w:ascii="宋体" w:hAnsi="宋体" w:cs="宋体"/>
                <w:bCs/>
                <w:sz w:val="28"/>
                <w:szCs w:val="28"/>
              </w:rPr>
              <w:t>6</w:t>
            </w:r>
          </w:p>
        </w:tc>
        <w:tc>
          <w:tcPr>
            <w:tcW w:w="2744" w:type="dxa"/>
            <w:vAlign w:val="center"/>
          </w:tcPr>
          <w:p>
            <w:pPr>
              <w:widowControl/>
              <w:snapToGrid w:val="0"/>
              <w:jc w:val="center"/>
              <w:textAlignment w:val="center"/>
              <w:rPr>
                <w:rFonts w:ascii="仿宋" w:hAnsi="仿宋" w:eastAsia="仿宋" w:cs="仿宋"/>
                <w:bCs/>
                <w:sz w:val="28"/>
                <w:szCs w:val="28"/>
              </w:rPr>
            </w:pPr>
          </w:p>
        </w:tc>
        <w:tc>
          <w:tcPr>
            <w:tcW w:w="4456" w:type="dxa"/>
            <w:vAlign w:val="center"/>
          </w:tcPr>
          <w:p>
            <w:pPr>
              <w:widowControl/>
              <w:snapToGrid w:val="0"/>
              <w:jc w:val="center"/>
              <w:rPr>
                <w:rFonts w:ascii="仿宋" w:hAnsi="仿宋" w:eastAsia="仿宋" w:cs="仿宋"/>
                <w:bCs/>
                <w:sz w:val="28"/>
                <w:szCs w:val="28"/>
              </w:rPr>
            </w:pPr>
            <w:r>
              <w:rPr>
                <w:rFonts w:hint="eastAsia" w:ascii="仿宋" w:hAnsi="仿宋" w:eastAsia="仿宋" w:cs="仿宋"/>
                <w:bCs/>
                <w:sz w:val="28"/>
                <w:szCs w:val="28"/>
              </w:rPr>
              <w:t>居委委员</w:t>
            </w:r>
          </w:p>
        </w:tc>
      </w:tr>
    </w:tbl>
    <w:p>
      <w:pPr>
        <w:numPr>
          <w:ilvl w:val="0"/>
          <w:numId w:val="2"/>
        </w:numPr>
        <w:ind w:firstLine="562" w:firstLineChars="200"/>
        <w:rPr>
          <w:rFonts w:ascii="仿宋" w:hAnsi="仿宋" w:eastAsia="仿宋" w:cs="仿宋"/>
          <w:b/>
          <w:bCs/>
          <w:sz w:val="28"/>
          <w:szCs w:val="28"/>
        </w:rPr>
      </w:pPr>
      <w:r>
        <w:rPr>
          <w:rFonts w:hint="eastAsia" w:ascii="仿宋" w:hAnsi="仿宋" w:eastAsia="仿宋"/>
          <w:b/>
          <w:bCs/>
          <w:sz w:val="28"/>
          <w:szCs w:val="28"/>
        </w:rPr>
        <w:t>财务收支情况</w:t>
      </w:r>
    </w:p>
    <w:p>
      <w:pPr>
        <w:spacing w:line="560" w:lineRule="exact"/>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1、资产、负债和所有者权益情况</w:t>
      </w:r>
    </w:p>
    <w:p>
      <w:pPr>
        <w:numPr>
          <w:ilvl w:val="0"/>
          <w:numId w:val="3"/>
        </w:numPr>
        <w:ind w:left="0" w:firstLine="560" w:firstLineChars="200"/>
        <w:rPr>
          <w:rFonts w:ascii="仿宋" w:hAnsi="仿宋" w:eastAsia="仿宋"/>
          <w:snapToGrid w:val="0"/>
          <w:kern w:val="0"/>
          <w:sz w:val="28"/>
          <w:szCs w:val="28"/>
        </w:rPr>
      </w:pPr>
      <w:r>
        <w:rPr>
          <w:rFonts w:ascii="仿宋" w:hAnsi="仿宋" w:eastAsia="仿宋"/>
          <w:snapToGrid w:val="0"/>
          <w:kern w:val="0"/>
          <w:sz w:val="28"/>
          <w:szCs w:val="28"/>
        </w:rPr>
        <w:t>经审计，</w:t>
      </w:r>
      <w:r>
        <w:rPr>
          <w:rFonts w:hint="eastAsia" w:ascii="仿宋" w:hAnsi="仿宋" w:eastAsia="仿宋"/>
          <w:snapToGrid w:val="0"/>
          <w:kern w:val="0"/>
          <w:sz w:val="28"/>
          <w:szCs w:val="28"/>
        </w:rPr>
        <w:t>XX居委会</w:t>
      </w:r>
      <w:r>
        <w:rPr>
          <w:rFonts w:ascii="仿宋" w:hAnsi="仿宋" w:eastAsia="仿宋"/>
          <w:snapToGrid w:val="0"/>
          <w:kern w:val="0"/>
          <w:sz w:val="28"/>
          <w:szCs w:val="28"/>
        </w:rPr>
        <w:t>任期</w:t>
      </w:r>
      <w:r>
        <w:rPr>
          <w:rFonts w:hint="eastAsia" w:ascii="仿宋" w:hAnsi="仿宋" w:eastAsia="仿宋"/>
          <w:snapToGrid w:val="0"/>
          <w:kern w:val="0"/>
          <w:sz w:val="28"/>
          <w:szCs w:val="28"/>
        </w:rPr>
        <w:t>内</w:t>
      </w:r>
      <w:r>
        <w:rPr>
          <w:rFonts w:ascii="仿宋" w:hAnsi="仿宋" w:eastAsia="仿宋"/>
          <w:snapToGrid w:val="0"/>
          <w:kern w:val="0"/>
          <w:sz w:val="28"/>
          <w:szCs w:val="28"/>
        </w:rPr>
        <w:t>资产增减变动情况如下表：</w:t>
      </w:r>
    </w:p>
    <w:p>
      <w:pPr>
        <w:spacing w:before="156" w:beforeLines="50" w:after="156" w:afterLines="50"/>
        <w:ind w:firstLine="573" w:firstLineChars="204"/>
        <w:jc w:val="center"/>
        <w:rPr>
          <w:rFonts w:ascii="仿宋" w:hAnsi="仿宋" w:eastAsia="仿宋" w:cs="仿宋"/>
          <w:b/>
          <w:bCs/>
          <w:sz w:val="28"/>
          <w:szCs w:val="28"/>
        </w:rPr>
      </w:pPr>
      <w:r>
        <w:rPr>
          <w:rFonts w:hint="eastAsia" w:ascii="仿宋" w:hAnsi="仿宋" w:eastAsia="仿宋" w:cs="仿宋"/>
          <w:b/>
          <w:bCs/>
          <w:sz w:val="28"/>
          <w:szCs w:val="28"/>
        </w:rPr>
        <w:t>任期内资产变动情况表</w:t>
      </w:r>
    </w:p>
    <w:tbl>
      <w:tblPr>
        <w:tblStyle w:val="10"/>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04"/>
        <w:gridCol w:w="1618"/>
        <w:gridCol w:w="1670"/>
        <w:gridCol w:w="170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tblHeader/>
          <w:jc w:val="center"/>
        </w:trPr>
        <w:tc>
          <w:tcPr>
            <w:tcW w:w="1904" w:type="dxa"/>
            <w:tcBorders>
              <w:bottom w:val="single" w:color="auto" w:sz="4" w:space="0"/>
            </w:tcBorders>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项目</w:t>
            </w:r>
          </w:p>
        </w:tc>
        <w:tc>
          <w:tcPr>
            <w:tcW w:w="1618" w:type="dxa"/>
            <w:tcBorders>
              <w:bottom w:val="single" w:color="auto" w:sz="4" w:space="0"/>
            </w:tcBorders>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任期初</w:t>
            </w:r>
          </w:p>
        </w:tc>
        <w:tc>
          <w:tcPr>
            <w:tcW w:w="1670" w:type="dxa"/>
            <w:tcBorders>
              <w:bottom w:val="single" w:color="auto" w:sz="4" w:space="0"/>
            </w:tcBorders>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任期末</w:t>
            </w:r>
          </w:p>
        </w:tc>
        <w:tc>
          <w:tcPr>
            <w:tcW w:w="1700" w:type="dxa"/>
            <w:tcBorders>
              <w:bottom w:val="single" w:color="auto" w:sz="4" w:space="0"/>
            </w:tcBorders>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增减变动（+、-）</w:t>
            </w:r>
          </w:p>
        </w:tc>
        <w:tc>
          <w:tcPr>
            <w:tcW w:w="1451" w:type="dxa"/>
            <w:tcBorders>
              <w:bottom w:val="single" w:color="auto" w:sz="4" w:space="0"/>
            </w:tcBorders>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7" w:hRule="atLeast"/>
          <w:jc w:val="center"/>
        </w:trPr>
        <w:tc>
          <w:tcPr>
            <w:tcW w:w="1904" w:type="dxa"/>
            <w:vAlign w:val="bottom"/>
          </w:tcPr>
          <w:p>
            <w:pPr>
              <w:ind w:left="595" w:hanging="595" w:hangingChars="282"/>
              <w:rPr>
                <w:rFonts w:ascii="仿宋" w:hAnsi="仿宋" w:eastAsia="仿宋" w:cs="仿宋"/>
                <w:b/>
                <w:bCs/>
                <w:color w:val="000000"/>
                <w:sz w:val="21"/>
                <w:szCs w:val="21"/>
              </w:rPr>
            </w:pPr>
            <w:r>
              <w:rPr>
                <w:rFonts w:hint="eastAsia" w:ascii="仿宋" w:hAnsi="仿宋" w:eastAsia="仿宋" w:cs="仿宋"/>
                <w:b/>
                <w:bCs/>
                <w:color w:val="000000"/>
                <w:sz w:val="21"/>
                <w:szCs w:val="21"/>
              </w:rPr>
              <w:t>流动资产：</w:t>
            </w:r>
          </w:p>
        </w:tc>
        <w:tc>
          <w:tcPr>
            <w:tcW w:w="1618" w:type="dxa"/>
            <w:vAlign w:val="bottom"/>
          </w:tcPr>
          <w:p>
            <w:pPr>
              <w:jc w:val="right"/>
              <w:rPr>
                <w:rFonts w:ascii="仿宋" w:hAnsi="仿宋" w:eastAsia="仿宋" w:cs="仿宋"/>
                <w:b/>
                <w:color w:val="000000" w:themeColor="text1"/>
                <w:sz w:val="21"/>
                <w:szCs w:val="21"/>
                <w14:textFill>
                  <w14:solidFill>
                    <w14:schemeClr w14:val="tx1"/>
                  </w14:solidFill>
                </w14:textFill>
              </w:rPr>
            </w:pPr>
          </w:p>
        </w:tc>
        <w:tc>
          <w:tcPr>
            <w:tcW w:w="1670" w:type="dxa"/>
            <w:vAlign w:val="bottom"/>
          </w:tcPr>
          <w:p>
            <w:pPr>
              <w:jc w:val="right"/>
              <w:rPr>
                <w:rFonts w:ascii="仿宋" w:hAnsi="仿宋" w:eastAsia="仿宋" w:cs="仿宋"/>
                <w:b/>
                <w:color w:val="000000" w:themeColor="text1"/>
                <w:sz w:val="21"/>
                <w:szCs w:val="21"/>
                <w14:textFill>
                  <w14:solidFill>
                    <w14:schemeClr w14:val="tx1"/>
                  </w14:solidFill>
                </w14:textFill>
              </w:rPr>
            </w:pPr>
          </w:p>
        </w:tc>
        <w:tc>
          <w:tcPr>
            <w:tcW w:w="1700" w:type="dxa"/>
            <w:vAlign w:val="bottom"/>
          </w:tcPr>
          <w:p>
            <w:pPr>
              <w:jc w:val="right"/>
              <w:rPr>
                <w:rFonts w:ascii="仿宋" w:hAnsi="仿宋" w:eastAsia="仿宋" w:cs="仿宋"/>
                <w:b/>
                <w:color w:val="000000" w:themeColor="text1"/>
                <w:sz w:val="21"/>
                <w:szCs w:val="21"/>
                <w14:textFill>
                  <w14:solidFill>
                    <w14:schemeClr w14:val="tx1"/>
                  </w14:solidFill>
                </w14:textFill>
              </w:rPr>
            </w:pPr>
          </w:p>
        </w:tc>
        <w:tc>
          <w:tcPr>
            <w:tcW w:w="1451" w:type="dxa"/>
            <w:vAlign w:val="bottom"/>
          </w:tcPr>
          <w:p>
            <w:pPr>
              <w:jc w:val="right"/>
              <w:rPr>
                <w:rFonts w:ascii="仿宋" w:hAnsi="仿宋" w:eastAsia="仿宋" w:cs="仿宋"/>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2" w:hRule="atLeast"/>
          <w:jc w:val="center"/>
        </w:trPr>
        <w:tc>
          <w:tcPr>
            <w:tcW w:w="1904" w:type="dxa"/>
            <w:vAlign w:val="bottom"/>
          </w:tcPr>
          <w:p>
            <w:pPr>
              <w:rPr>
                <w:rFonts w:ascii="仿宋" w:hAnsi="仿宋" w:eastAsia="仿宋" w:cs="仿宋"/>
                <w:color w:val="000000"/>
                <w:sz w:val="21"/>
                <w:szCs w:val="21"/>
              </w:rPr>
            </w:pPr>
            <w:r>
              <w:rPr>
                <w:rFonts w:hint="eastAsia" w:ascii="仿宋" w:hAnsi="仿宋" w:eastAsia="仿宋" w:cs="仿宋"/>
                <w:color w:val="000000"/>
                <w:kern w:val="0"/>
                <w:sz w:val="21"/>
                <w:szCs w:val="21"/>
                <w:lang w:bidi="ar"/>
              </w:rPr>
              <w:t>货币资金</w:t>
            </w:r>
          </w:p>
        </w:tc>
        <w:tc>
          <w:tcPr>
            <w:tcW w:w="1618" w:type="dxa"/>
            <w:vAlign w:val="bottom"/>
          </w:tcPr>
          <w:p>
            <w:pPr>
              <w:widowControl/>
              <w:jc w:val="right"/>
              <w:textAlignment w:val="bottom"/>
              <w:rPr>
                <w:rFonts w:ascii="仿宋" w:hAnsi="仿宋" w:eastAsia="仿宋" w:cs="仿宋"/>
                <w:color w:val="000000" w:themeColor="text1"/>
                <w:sz w:val="21"/>
                <w:szCs w:val="21"/>
                <w14:textFill>
                  <w14:solidFill>
                    <w14:schemeClr w14:val="tx1"/>
                  </w14:solidFill>
                </w14:textFill>
              </w:rPr>
            </w:pPr>
          </w:p>
        </w:tc>
        <w:tc>
          <w:tcPr>
            <w:tcW w:w="1670" w:type="dxa"/>
            <w:vAlign w:val="bottom"/>
          </w:tcPr>
          <w:p>
            <w:pPr>
              <w:widowControl/>
              <w:jc w:val="right"/>
              <w:textAlignment w:val="bottom"/>
              <w:rPr>
                <w:rFonts w:ascii="仿宋" w:hAnsi="仿宋" w:eastAsia="仿宋" w:cs="仿宋"/>
                <w:color w:val="000000" w:themeColor="text1"/>
                <w:sz w:val="21"/>
                <w:szCs w:val="21"/>
                <w14:textFill>
                  <w14:solidFill>
                    <w14:schemeClr w14:val="tx1"/>
                  </w14:solidFill>
                </w14:textFill>
              </w:rPr>
            </w:pPr>
          </w:p>
        </w:tc>
        <w:tc>
          <w:tcPr>
            <w:tcW w:w="1700"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c>
          <w:tcPr>
            <w:tcW w:w="1451"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2" w:hRule="atLeast"/>
          <w:jc w:val="center"/>
        </w:trPr>
        <w:tc>
          <w:tcPr>
            <w:tcW w:w="1904" w:type="dxa"/>
            <w:vAlign w:val="bottom"/>
          </w:tcPr>
          <w:p>
            <w:pP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其中：现金</w:t>
            </w:r>
          </w:p>
        </w:tc>
        <w:tc>
          <w:tcPr>
            <w:tcW w:w="1618" w:type="dxa"/>
            <w:vAlign w:val="bottom"/>
          </w:tcPr>
          <w:p>
            <w:pPr>
              <w:widowControl/>
              <w:jc w:val="right"/>
              <w:textAlignment w:val="bottom"/>
              <w:rPr>
                <w:rFonts w:ascii="仿宋" w:hAnsi="仿宋" w:eastAsia="仿宋" w:cs="仿宋"/>
                <w:color w:val="000000" w:themeColor="text1"/>
                <w:sz w:val="21"/>
                <w:szCs w:val="21"/>
                <w14:textFill>
                  <w14:solidFill>
                    <w14:schemeClr w14:val="tx1"/>
                  </w14:solidFill>
                </w14:textFill>
              </w:rPr>
            </w:pPr>
          </w:p>
        </w:tc>
        <w:tc>
          <w:tcPr>
            <w:tcW w:w="1670" w:type="dxa"/>
            <w:vAlign w:val="bottom"/>
          </w:tcPr>
          <w:p>
            <w:pPr>
              <w:widowControl/>
              <w:jc w:val="right"/>
              <w:textAlignment w:val="bottom"/>
              <w:rPr>
                <w:rFonts w:ascii="仿宋" w:hAnsi="仿宋" w:eastAsia="仿宋" w:cs="仿宋"/>
                <w:color w:val="000000" w:themeColor="text1"/>
                <w:sz w:val="21"/>
                <w:szCs w:val="21"/>
                <w14:textFill>
                  <w14:solidFill>
                    <w14:schemeClr w14:val="tx1"/>
                  </w14:solidFill>
                </w14:textFill>
              </w:rPr>
            </w:pPr>
          </w:p>
        </w:tc>
        <w:tc>
          <w:tcPr>
            <w:tcW w:w="1700"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c>
          <w:tcPr>
            <w:tcW w:w="1451"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2" w:hRule="atLeast"/>
          <w:jc w:val="center"/>
        </w:trPr>
        <w:tc>
          <w:tcPr>
            <w:tcW w:w="1904" w:type="dxa"/>
            <w:vAlign w:val="bottom"/>
          </w:tcPr>
          <w:p>
            <w:pP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 xml:space="preserve">      银行存款</w:t>
            </w:r>
          </w:p>
        </w:tc>
        <w:tc>
          <w:tcPr>
            <w:tcW w:w="1618" w:type="dxa"/>
            <w:vAlign w:val="bottom"/>
          </w:tcPr>
          <w:p>
            <w:pPr>
              <w:widowControl/>
              <w:jc w:val="right"/>
              <w:textAlignment w:val="bottom"/>
              <w:rPr>
                <w:rFonts w:ascii="仿宋" w:hAnsi="仿宋" w:eastAsia="仿宋" w:cs="仿宋"/>
                <w:color w:val="000000" w:themeColor="text1"/>
                <w:sz w:val="21"/>
                <w:szCs w:val="21"/>
                <w14:textFill>
                  <w14:solidFill>
                    <w14:schemeClr w14:val="tx1"/>
                  </w14:solidFill>
                </w14:textFill>
              </w:rPr>
            </w:pPr>
          </w:p>
        </w:tc>
        <w:tc>
          <w:tcPr>
            <w:tcW w:w="1670" w:type="dxa"/>
            <w:vAlign w:val="bottom"/>
          </w:tcPr>
          <w:p>
            <w:pPr>
              <w:widowControl/>
              <w:jc w:val="right"/>
              <w:textAlignment w:val="bottom"/>
              <w:rPr>
                <w:rFonts w:ascii="仿宋" w:hAnsi="仿宋" w:eastAsia="仿宋" w:cs="仿宋"/>
                <w:color w:val="000000" w:themeColor="text1"/>
                <w:sz w:val="21"/>
                <w:szCs w:val="21"/>
                <w14:textFill>
                  <w14:solidFill>
                    <w14:schemeClr w14:val="tx1"/>
                  </w14:solidFill>
                </w14:textFill>
              </w:rPr>
            </w:pPr>
          </w:p>
        </w:tc>
        <w:tc>
          <w:tcPr>
            <w:tcW w:w="1700"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c>
          <w:tcPr>
            <w:tcW w:w="1451"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7" w:hRule="atLeast"/>
          <w:jc w:val="center"/>
        </w:trPr>
        <w:tc>
          <w:tcPr>
            <w:tcW w:w="1904" w:type="dxa"/>
            <w:vAlign w:val="bottom"/>
          </w:tcPr>
          <w:p>
            <w:pPr>
              <w:widowControl/>
              <w:jc w:val="center"/>
              <w:textAlignment w:val="center"/>
              <w:rPr>
                <w:rFonts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流动资产合计</w:t>
            </w:r>
          </w:p>
        </w:tc>
        <w:tc>
          <w:tcPr>
            <w:tcW w:w="1618" w:type="dxa"/>
            <w:vAlign w:val="bottom"/>
          </w:tcPr>
          <w:p>
            <w:pPr>
              <w:widowControl/>
              <w:jc w:val="right"/>
              <w:textAlignment w:val="bottom"/>
              <w:rPr>
                <w:rFonts w:ascii="仿宋" w:hAnsi="仿宋" w:eastAsia="仿宋" w:cs="仿宋"/>
                <w:b/>
                <w:bCs/>
                <w:color w:val="000000" w:themeColor="text1"/>
                <w:sz w:val="21"/>
                <w:szCs w:val="21"/>
                <w14:textFill>
                  <w14:solidFill>
                    <w14:schemeClr w14:val="tx1"/>
                  </w14:solidFill>
                </w14:textFill>
              </w:rPr>
            </w:pPr>
          </w:p>
        </w:tc>
        <w:tc>
          <w:tcPr>
            <w:tcW w:w="1670" w:type="dxa"/>
            <w:vAlign w:val="bottom"/>
          </w:tcPr>
          <w:p>
            <w:pPr>
              <w:widowControl/>
              <w:jc w:val="right"/>
              <w:textAlignment w:val="bottom"/>
              <w:rPr>
                <w:rFonts w:ascii="仿宋" w:hAnsi="仿宋" w:eastAsia="仿宋" w:cs="仿宋"/>
                <w:b/>
                <w:bCs/>
                <w:color w:val="000000" w:themeColor="text1"/>
                <w:sz w:val="21"/>
                <w:szCs w:val="21"/>
                <w14:textFill>
                  <w14:solidFill>
                    <w14:schemeClr w14:val="tx1"/>
                  </w14:solidFill>
                </w14:textFill>
              </w:rPr>
            </w:pPr>
          </w:p>
        </w:tc>
        <w:tc>
          <w:tcPr>
            <w:tcW w:w="1700" w:type="dxa"/>
            <w:vAlign w:val="bottom"/>
          </w:tcPr>
          <w:p>
            <w:pPr>
              <w:widowControl/>
              <w:jc w:val="right"/>
              <w:textAlignment w:val="center"/>
              <w:rPr>
                <w:rFonts w:ascii="仿宋" w:hAnsi="仿宋" w:eastAsia="仿宋" w:cs="仿宋"/>
                <w:b/>
                <w:bCs/>
                <w:color w:val="000000" w:themeColor="text1"/>
                <w:sz w:val="21"/>
                <w:szCs w:val="21"/>
                <w14:textFill>
                  <w14:solidFill>
                    <w14:schemeClr w14:val="tx1"/>
                  </w14:solidFill>
                </w14:textFill>
              </w:rPr>
            </w:pPr>
          </w:p>
        </w:tc>
        <w:tc>
          <w:tcPr>
            <w:tcW w:w="1451" w:type="dxa"/>
            <w:vAlign w:val="bottom"/>
          </w:tcPr>
          <w:p>
            <w:pPr>
              <w:widowControl/>
              <w:jc w:val="right"/>
              <w:textAlignment w:val="center"/>
              <w:rPr>
                <w:rFonts w:ascii="仿宋" w:hAnsi="仿宋" w:eastAsia="仿宋" w:cs="仿宋"/>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7" w:hRule="atLeast"/>
          <w:jc w:val="center"/>
        </w:trPr>
        <w:tc>
          <w:tcPr>
            <w:tcW w:w="1904" w:type="dxa"/>
            <w:vAlign w:val="bottom"/>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b/>
                <w:bCs/>
                <w:color w:val="000000"/>
                <w:kern w:val="0"/>
                <w:sz w:val="21"/>
                <w:szCs w:val="21"/>
                <w:lang w:bidi="ar"/>
              </w:rPr>
              <w:t>固定资产：</w:t>
            </w:r>
          </w:p>
        </w:tc>
        <w:tc>
          <w:tcPr>
            <w:tcW w:w="1618" w:type="dxa"/>
            <w:vAlign w:val="bottom"/>
          </w:tcPr>
          <w:p>
            <w:pPr>
              <w:jc w:val="right"/>
              <w:rPr>
                <w:rFonts w:ascii="仿宋" w:hAnsi="仿宋" w:eastAsia="仿宋" w:cs="仿宋"/>
                <w:b/>
                <w:color w:val="000000" w:themeColor="text1"/>
                <w:sz w:val="21"/>
                <w:szCs w:val="21"/>
                <w14:textFill>
                  <w14:solidFill>
                    <w14:schemeClr w14:val="tx1"/>
                  </w14:solidFill>
                </w14:textFill>
              </w:rPr>
            </w:pPr>
          </w:p>
        </w:tc>
        <w:tc>
          <w:tcPr>
            <w:tcW w:w="1670" w:type="dxa"/>
            <w:vAlign w:val="bottom"/>
          </w:tcPr>
          <w:p>
            <w:pPr>
              <w:jc w:val="right"/>
              <w:rPr>
                <w:rFonts w:ascii="仿宋" w:hAnsi="仿宋" w:eastAsia="仿宋" w:cs="仿宋"/>
                <w:b/>
                <w:color w:val="000000" w:themeColor="text1"/>
                <w:sz w:val="21"/>
                <w:szCs w:val="21"/>
                <w14:textFill>
                  <w14:solidFill>
                    <w14:schemeClr w14:val="tx1"/>
                  </w14:solidFill>
                </w14:textFill>
              </w:rPr>
            </w:pPr>
          </w:p>
        </w:tc>
        <w:tc>
          <w:tcPr>
            <w:tcW w:w="1700" w:type="dxa"/>
            <w:vAlign w:val="bottom"/>
          </w:tcPr>
          <w:p>
            <w:pPr>
              <w:jc w:val="right"/>
              <w:rPr>
                <w:rFonts w:ascii="仿宋" w:hAnsi="仿宋" w:eastAsia="仿宋" w:cs="仿宋"/>
                <w:b/>
                <w:color w:val="000000" w:themeColor="text1"/>
                <w:sz w:val="21"/>
                <w:szCs w:val="21"/>
                <w14:textFill>
                  <w14:solidFill>
                    <w14:schemeClr w14:val="tx1"/>
                  </w14:solidFill>
                </w14:textFill>
              </w:rPr>
            </w:pPr>
          </w:p>
        </w:tc>
        <w:tc>
          <w:tcPr>
            <w:tcW w:w="1451" w:type="dxa"/>
            <w:vAlign w:val="bottom"/>
          </w:tcPr>
          <w:p>
            <w:pPr>
              <w:jc w:val="right"/>
              <w:rPr>
                <w:rFonts w:ascii="仿宋" w:hAnsi="仿宋" w:eastAsia="仿宋" w:cs="仿宋"/>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7" w:hRule="atLeast"/>
          <w:jc w:val="center"/>
        </w:trPr>
        <w:tc>
          <w:tcPr>
            <w:tcW w:w="1904" w:type="dxa"/>
            <w:vAlign w:val="bottom"/>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固定资产原值</w:t>
            </w:r>
          </w:p>
        </w:tc>
        <w:tc>
          <w:tcPr>
            <w:tcW w:w="1618"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c>
          <w:tcPr>
            <w:tcW w:w="1670"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c>
          <w:tcPr>
            <w:tcW w:w="1700"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c>
          <w:tcPr>
            <w:tcW w:w="1451"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7" w:hRule="atLeast"/>
          <w:jc w:val="center"/>
        </w:trPr>
        <w:tc>
          <w:tcPr>
            <w:tcW w:w="1904" w:type="dxa"/>
            <w:vAlign w:val="bottom"/>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其中：房屋及建筑物</w:t>
            </w:r>
          </w:p>
        </w:tc>
        <w:tc>
          <w:tcPr>
            <w:tcW w:w="1618" w:type="dxa"/>
            <w:vAlign w:val="bottom"/>
          </w:tcPr>
          <w:p>
            <w:pPr>
              <w:widowControl/>
              <w:jc w:val="right"/>
              <w:textAlignment w:val="center"/>
              <w:rPr>
                <w:rFonts w:ascii="仿宋" w:hAnsi="仿宋" w:eastAsia="仿宋" w:cs="仿宋"/>
                <w:color w:val="000000"/>
                <w:kern w:val="0"/>
                <w:sz w:val="21"/>
                <w:szCs w:val="21"/>
                <w:lang w:bidi="ar"/>
              </w:rPr>
            </w:pPr>
          </w:p>
        </w:tc>
        <w:tc>
          <w:tcPr>
            <w:tcW w:w="1670" w:type="dxa"/>
            <w:vAlign w:val="bottom"/>
          </w:tcPr>
          <w:p>
            <w:pPr>
              <w:widowControl/>
              <w:jc w:val="right"/>
              <w:textAlignment w:val="center"/>
              <w:rPr>
                <w:rFonts w:ascii="仿宋" w:hAnsi="仿宋" w:eastAsia="仿宋" w:cs="仿宋"/>
                <w:color w:val="000000"/>
                <w:kern w:val="0"/>
                <w:sz w:val="21"/>
                <w:szCs w:val="21"/>
                <w:lang w:bidi="ar"/>
              </w:rPr>
            </w:pPr>
          </w:p>
        </w:tc>
        <w:tc>
          <w:tcPr>
            <w:tcW w:w="1700" w:type="dxa"/>
            <w:vAlign w:val="bottom"/>
          </w:tcPr>
          <w:p>
            <w:pPr>
              <w:widowControl/>
              <w:jc w:val="right"/>
              <w:textAlignment w:val="center"/>
              <w:rPr>
                <w:rFonts w:ascii="仿宋" w:hAnsi="仿宋" w:eastAsia="仿宋" w:cs="仿宋"/>
                <w:color w:val="000000"/>
                <w:kern w:val="0"/>
                <w:sz w:val="21"/>
                <w:szCs w:val="21"/>
                <w:lang w:bidi="ar"/>
              </w:rPr>
            </w:pPr>
          </w:p>
        </w:tc>
        <w:tc>
          <w:tcPr>
            <w:tcW w:w="1451" w:type="dxa"/>
            <w:vAlign w:val="bottom"/>
          </w:tcPr>
          <w:p>
            <w:pPr>
              <w:widowControl/>
              <w:jc w:val="right"/>
              <w:textAlignment w:val="center"/>
              <w:rPr>
                <w:rFonts w:ascii="仿宋" w:hAnsi="仿宋" w:eastAsia="仿宋" w:cs="仿宋"/>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7" w:hRule="atLeast"/>
          <w:jc w:val="center"/>
        </w:trPr>
        <w:tc>
          <w:tcPr>
            <w:tcW w:w="1904" w:type="dxa"/>
            <w:vAlign w:val="bottom"/>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办公设备</w:t>
            </w:r>
          </w:p>
        </w:tc>
        <w:tc>
          <w:tcPr>
            <w:tcW w:w="1618" w:type="dxa"/>
            <w:vAlign w:val="bottom"/>
          </w:tcPr>
          <w:p>
            <w:pPr>
              <w:widowControl/>
              <w:jc w:val="right"/>
              <w:textAlignment w:val="center"/>
              <w:rPr>
                <w:rFonts w:ascii="仿宋" w:hAnsi="仿宋" w:eastAsia="仿宋" w:cs="仿宋"/>
                <w:color w:val="000000"/>
                <w:kern w:val="0"/>
                <w:sz w:val="21"/>
                <w:szCs w:val="21"/>
                <w:lang w:bidi="ar"/>
              </w:rPr>
            </w:pPr>
          </w:p>
        </w:tc>
        <w:tc>
          <w:tcPr>
            <w:tcW w:w="1670" w:type="dxa"/>
            <w:vAlign w:val="bottom"/>
          </w:tcPr>
          <w:p>
            <w:pPr>
              <w:widowControl/>
              <w:jc w:val="right"/>
              <w:textAlignment w:val="center"/>
              <w:rPr>
                <w:rFonts w:ascii="仿宋" w:hAnsi="仿宋" w:eastAsia="仿宋" w:cs="仿宋"/>
                <w:color w:val="000000"/>
                <w:kern w:val="0"/>
                <w:sz w:val="21"/>
                <w:szCs w:val="21"/>
                <w:lang w:bidi="ar"/>
              </w:rPr>
            </w:pPr>
          </w:p>
        </w:tc>
        <w:tc>
          <w:tcPr>
            <w:tcW w:w="1700" w:type="dxa"/>
            <w:vAlign w:val="bottom"/>
          </w:tcPr>
          <w:p>
            <w:pPr>
              <w:widowControl/>
              <w:jc w:val="right"/>
              <w:textAlignment w:val="center"/>
              <w:rPr>
                <w:rFonts w:ascii="仿宋" w:hAnsi="仿宋" w:eastAsia="仿宋" w:cs="仿宋"/>
                <w:color w:val="000000"/>
                <w:kern w:val="0"/>
                <w:sz w:val="21"/>
                <w:szCs w:val="21"/>
                <w:lang w:bidi="ar"/>
              </w:rPr>
            </w:pPr>
          </w:p>
        </w:tc>
        <w:tc>
          <w:tcPr>
            <w:tcW w:w="1451" w:type="dxa"/>
            <w:vAlign w:val="bottom"/>
          </w:tcPr>
          <w:p>
            <w:pPr>
              <w:widowControl/>
              <w:jc w:val="right"/>
              <w:textAlignment w:val="center"/>
              <w:rPr>
                <w:rFonts w:ascii="仿宋" w:hAnsi="仿宋" w:eastAsia="仿宋" w:cs="仿宋"/>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7" w:hRule="atLeast"/>
          <w:jc w:val="center"/>
        </w:trPr>
        <w:tc>
          <w:tcPr>
            <w:tcW w:w="1904" w:type="dxa"/>
            <w:vAlign w:val="bottom"/>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累计折旧</w:t>
            </w:r>
          </w:p>
        </w:tc>
        <w:tc>
          <w:tcPr>
            <w:tcW w:w="1618"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c>
          <w:tcPr>
            <w:tcW w:w="1670" w:type="dxa"/>
            <w:vAlign w:val="bottom"/>
          </w:tcPr>
          <w:p>
            <w:pPr>
              <w:widowControl/>
              <w:jc w:val="right"/>
              <w:textAlignment w:val="center"/>
              <w:rPr>
                <w:rFonts w:ascii="仿宋" w:hAnsi="仿宋" w:eastAsia="仿宋" w:cs="仿宋"/>
                <w:color w:val="000000"/>
                <w:kern w:val="0"/>
                <w:sz w:val="21"/>
                <w:szCs w:val="21"/>
                <w:lang w:bidi="ar"/>
              </w:rPr>
            </w:pPr>
          </w:p>
        </w:tc>
        <w:tc>
          <w:tcPr>
            <w:tcW w:w="1700" w:type="dxa"/>
            <w:vAlign w:val="bottom"/>
          </w:tcPr>
          <w:p>
            <w:pPr>
              <w:widowControl/>
              <w:jc w:val="right"/>
              <w:textAlignment w:val="center"/>
              <w:rPr>
                <w:rFonts w:ascii="仿宋" w:hAnsi="仿宋" w:eastAsia="仿宋" w:cs="仿宋"/>
                <w:color w:val="000000"/>
                <w:kern w:val="0"/>
                <w:sz w:val="21"/>
                <w:szCs w:val="21"/>
                <w:lang w:bidi="ar"/>
              </w:rPr>
            </w:pPr>
          </w:p>
        </w:tc>
        <w:tc>
          <w:tcPr>
            <w:tcW w:w="1451" w:type="dxa"/>
            <w:vAlign w:val="bottom"/>
          </w:tcPr>
          <w:p>
            <w:pPr>
              <w:widowControl/>
              <w:jc w:val="right"/>
              <w:textAlignment w:val="center"/>
              <w:rPr>
                <w:rFonts w:ascii="仿宋" w:hAnsi="仿宋" w:eastAsia="仿宋" w:cs="仿宋"/>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7" w:hRule="atLeast"/>
          <w:jc w:val="center"/>
        </w:trPr>
        <w:tc>
          <w:tcPr>
            <w:tcW w:w="1904" w:type="dxa"/>
            <w:vAlign w:val="bottom"/>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固定资产净值</w:t>
            </w:r>
          </w:p>
        </w:tc>
        <w:tc>
          <w:tcPr>
            <w:tcW w:w="1618" w:type="dxa"/>
            <w:vAlign w:val="bottom"/>
          </w:tcPr>
          <w:p>
            <w:pPr>
              <w:widowControl/>
              <w:jc w:val="right"/>
              <w:textAlignment w:val="center"/>
              <w:rPr>
                <w:rFonts w:ascii="仿宋" w:hAnsi="仿宋" w:eastAsia="仿宋" w:cs="仿宋"/>
                <w:color w:val="000000" w:themeColor="text1"/>
                <w:sz w:val="21"/>
                <w:szCs w:val="21"/>
                <w14:textFill>
                  <w14:solidFill>
                    <w14:schemeClr w14:val="tx1"/>
                  </w14:solidFill>
                </w14:textFill>
              </w:rPr>
            </w:pPr>
          </w:p>
        </w:tc>
        <w:tc>
          <w:tcPr>
            <w:tcW w:w="1670" w:type="dxa"/>
            <w:vAlign w:val="bottom"/>
          </w:tcPr>
          <w:p>
            <w:pPr>
              <w:widowControl/>
              <w:jc w:val="right"/>
              <w:textAlignment w:val="center"/>
              <w:rPr>
                <w:rFonts w:ascii="仿宋" w:hAnsi="仿宋" w:eastAsia="仿宋" w:cs="仿宋"/>
                <w:color w:val="000000"/>
                <w:kern w:val="0"/>
                <w:sz w:val="21"/>
                <w:szCs w:val="21"/>
                <w:lang w:bidi="ar"/>
              </w:rPr>
            </w:pPr>
          </w:p>
        </w:tc>
        <w:tc>
          <w:tcPr>
            <w:tcW w:w="1700" w:type="dxa"/>
            <w:vAlign w:val="bottom"/>
          </w:tcPr>
          <w:p>
            <w:pPr>
              <w:widowControl/>
              <w:jc w:val="right"/>
              <w:textAlignment w:val="center"/>
              <w:rPr>
                <w:rFonts w:ascii="仿宋" w:hAnsi="仿宋" w:eastAsia="仿宋" w:cs="仿宋"/>
                <w:color w:val="000000"/>
                <w:kern w:val="0"/>
                <w:sz w:val="21"/>
                <w:szCs w:val="21"/>
                <w:lang w:bidi="ar"/>
              </w:rPr>
            </w:pPr>
          </w:p>
        </w:tc>
        <w:tc>
          <w:tcPr>
            <w:tcW w:w="1451" w:type="dxa"/>
            <w:vAlign w:val="bottom"/>
          </w:tcPr>
          <w:p>
            <w:pPr>
              <w:widowControl/>
              <w:jc w:val="right"/>
              <w:textAlignment w:val="center"/>
              <w:rPr>
                <w:rFonts w:ascii="仿宋" w:hAnsi="仿宋" w:eastAsia="仿宋" w:cs="仿宋"/>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1904" w:type="dxa"/>
            <w:vAlign w:val="bottom"/>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固定资产合计</w:t>
            </w:r>
          </w:p>
        </w:tc>
        <w:tc>
          <w:tcPr>
            <w:tcW w:w="1618" w:type="dxa"/>
            <w:vAlign w:val="bottom"/>
          </w:tcPr>
          <w:p>
            <w:pPr>
              <w:widowControl/>
              <w:jc w:val="right"/>
              <w:textAlignment w:val="center"/>
              <w:rPr>
                <w:rFonts w:ascii="仿宋" w:hAnsi="仿宋" w:eastAsia="仿宋" w:cs="仿宋"/>
                <w:b/>
                <w:color w:val="000000" w:themeColor="text1"/>
                <w:sz w:val="21"/>
                <w:szCs w:val="21"/>
                <w14:textFill>
                  <w14:solidFill>
                    <w14:schemeClr w14:val="tx1"/>
                  </w14:solidFill>
                </w14:textFill>
              </w:rPr>
            </w:pPr>
          </w:p>
        </w:tc>
        <w:tc>
          <w:tcPr>
            <w:tcW w:w="1670" w:type="dxa"/>
            <w:vAlign w:val="bottom"/>
          </w:tcPr>
          <w:p>
            <w:pPr>
              <w:widowControl/>
              <w:jc w:val="right"/>
              <w:textAlignment w:val="center"/>
              <w:rPr>
                <w:rFonts w:ascii="仿宋" w:hAnsi="仿宋" w:eastAsia="仿宋" w:cs="仿宋"/>
                <w:b/>
                <w:color w:val="000000" w:themeColor="text1"/>
                <w:sz w:val="21"/>
                <w:szCs w:val="21"/>
                <w14:textFill>
                  <w14:solidFill>
                    <w14:schemeClr w14:val="tx1"/>
                  </w14:solidFill>
                </w14:textFill>
              </w:rPr>
            </w:pPr>
          </w:p>
        </w:tc>
        <w:tc>
          <w:tcPr>
            <w:tcW w:w="1700" w:type="dxa"/>
            <w:vAlign w:val="bottom"/>
          </w:tcPr>
          <w:p>
            <w:pPr>
              <w:widowControl/>
              <w:jc w:val="right"/>
              <w:textAlignment w:val="center"/>
              <w:rPr>
                <w:rFonts w:ascii="仿宋" w:hAnsi="仿宋" w:eastAsia="仿宋" w:cs="仿宋"/>
                <w:b/>
                <w:color w:val="000000" w:themeColor="text1"/>
                <w:sz w:val="21"/>
                <w:szCs w:val="21"/>
                <w14:textFill>
                  <w14:solidFill>
                    <w14:schemeClr w14:val="tx1"/>
                  </w14:solidFill>
                </w14:textFill>
              </w:rPr>
            </w:pPr>
          </w:p>
        </w:tc>
        <w:tc>
          <w:tcPr>
            <w:tcW w:w="1451" w:type="dxa"/>
            <w:vAlign w:val="bottom"/>
          </w:tcPr>
          <w:p>
            <w:pPr>
              <w:widowControl/>
              <w:jc w:val="right"/>
              <w:textAlignment w:val="center"/>
              <w:rPr>
                <w:rFonts w:ascii="仿宋" w:hAnsi="仿宋" w:eastAsia="仿宋" w:cs="仿宋"/>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1904" w:type="dxa"/>
            <w:vAlign w:val="bottom"/>
          </w:tcPr>
          <w:p>
            <w:pPr>
              <w:jc w:val="center"/>
              <w:rPr>
                <w:rFonts w:ascii="仿宋" w:hAnsi="仿宋" w:eastAsia="仿宋" w:cs="仿宋"/>
                <w:b/>
                <w:sz w:val="21"/>
                <w:szCs w:val="21"/>
              </w:rPr>
            </w:pPr>
            <w:r>
              <w:rPr>
                <w:rFonts w:hint="eastAsia" w:ascii="仿宋" w:hAnsi="仿宋" w:eastAsia="仿宋" w:cs="仿宋"/>
                <w:b/>
                <w:color w:val="000000"/>
                <w:sz w:val="21"/>
                <w:szCs w:val="21"/>
              </w:rPr>
              <w:t>资产总计</w:t>
            </w:r>
          </w:p>
        </w:tc>
        <w:tc>
          <w:tcPr>
            <w:tcW w:w="1618" w:type="dxa"/>
            <w:vAlign w:val="bottom"/>
          </w:tcPr>
          <w:p>
            <w:pPr>
              <w:widowControl/>
              <w:jc w:val="right"/>
              <w:textAlignment w:val="center"/>
              <w:rPr>
                <w:rFonts w:ascii="仿宋" w:hAnsi="仿宋" w:eastAsia="仿宋" w:cs="仿宋"/>
                <w:b/>
                <w:color w:val="000000" w:themeColor="text1"/>
                <w:sz w:val="21"/>
                <w:szCs w:val="21"/>
                <w14:textFill>
                  <w14:solidFill>
                    <w14:schemeClr w14:val="tx1"/>
                  </w14:solidFill>
                </w14:textFill>
              </w:rPr>
            </w:pPr>
          </w:p>
        </w:tc>
        <w:tc>
          <w:tcPr>
            <w:tcW w:w="1670" w:type="dxa"/>
            <w:vAlign w:val="bottom"/>
          </w:tcPr>
          <w:p>
            <w:pPr>
              <w:widowControl/>
              <w:jc w:val="right"/>
              <w:textAlignment w:val="center"/>
              <w:rPr>
                <w:rFonts w:ascii="仿宋" w:hAnsi="仿宋" w:eastAsia="仿宋" w:cs="仿宋"/>
                <w:b/>
                <w:color w:val="000000" w:themeColor="text1"/>
                <w:sz w:val="21"/>
                <w:szCs w:val="21"/>
                <w14:textFill>
                  <w14:solidFill>
                    <w14:schemeClr w14:val="tx1"/>
                  </w14:solidFill>
                </w14:textFill>
              </w:rPr>
            </w:pPr>
          </w:p>
        </w:tc>
        <w:tc>
          <w:tcPr>
            <w:tcW w:w="1700" w:type="dxa"/>
            <w:vAlign w:val="bottom"/>
          </w:tcPr>
          <w:p>
            <w:pPr>
              <w:widowControl/>
              <w:jc w:val="right"/>
              <w:textAlignment w:val="center"/>
              <w:rPr>
                <w:rFonts w:ascii="仿宋" w:hAnsi="仿宋" w:eastAsia="仿宋" w:cs="仿宋"/>
                <w:b/>
                <w:color w:val="000000" w:themeColor="text1"/>
                <w:sz w:val="21"/>
                <w:szCs w:val="21"/>
                <w14:textFill>
                  <w14:solidFill>
                    <w14:schemeClr w14:val="tx1"/>
                  </w14:solidFill>
                </w14:textFill>
              </w:rPr>
            </w:pPr>
          </w:p>
        </w:tc>
        <w:tc>
          <w:tcPr>
            <w:tcW w:w="1451" w:type="dxa"/>
            <w:vAlign w:val="bottom"/>
          </w:tcPr>
          <w:p>
            <w:pPr>
              <w:widowControl/>
              <w:jc w:val="right"/>
              <w:textAlignment w:val="center"/>
              <w:rPr>
                <w:rFonts w:ascii="仿宋" w:hAnsi="仿宋" w:eastAsia="仿宋" w:cs="仿宋"/>
                <w:b/>
                <w:color w:val="000000" w:themeColor="text1"/>
                <w:sz w:val="21"/>
                <w:szCs w:val="21"/>
                <w14:textFill>
                  <w14:solidFill>
                    <w14:schemeClr w14:val="tx1"/>
                  </w14:solidFill>
                </w14:textFill>
              </w:rPr>
            </w:pPr>
          </w:p>
        </w:tc>
      </w:tr>
    </w:tbl>
    <w:p>
      <w:pPr>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任期内总资产增加</w:t>
      </w:r>
      <w:r>
        <w:rPr>
          <w:rFonts w:hint="eastAsia" w:ascii="仿宋" w:hAnsi="仿宋" w:eastAsia="仿宋" w:cs="仿宋"/>
          <w:snapToGrid w:val="0"/>
          <w:kern w:val="0"/>
          <w:sz w:val="28"/>
          <w:szCs w:val="28"/>
          <w:lang w:val="en-US" w:eastAsia="zh-CN"/>
        </w:rPr>
        <w:t xml:space="preserve">      </w:t>
      </w:r>
      <w:r>
        <w:rPr>
          <w:rFonts w:hint="eastAsia" w:ascii="仿宋" w:hAnsi="仿宋" w:eastAsia="仿宋" w:cs="仿宋"/>
          <w:snapToGrid w:val="0"/>
          <w:kern w:val="0"/>
          <w:sz w:val="28"/>
          <w:szCs w:val="28"/>
        </w:rPr>
        <w:t>元，增长率为</w:t>
      </w:r>
      <w:r>
        <w:rPr>
          <w:rFonts w:hint="eastAsia" w:ascii="仿宋" w:hAnsi="仿宋" w:eastAsia="仿宋" w:cs="仿宋"/>
          <w:snapToGrid w:val="0"/>
          <w:kern w:val="0"/>
          <w:sz w:val="28"/>
          <w:szCs w:val="28"/>
          <w:lang w:val="en-US" w:eastAsia="zh-CN"/>
        </w:rPr>
        <w:t xml:space="preserve">    </w:t>
      </w:r>
      <w:r>
        <w:rPr>
          <w:rFonts w:hint="eastAsia" w:ascii="仿宋" w:hAnsi="仿宋" w:eastAsia="仿宋" w:cs="仿宋"/>
          <w:snapToGrid w:val="0"/>
          <w:kern w:val="0"/>
          <w:sz w:val="28"/>
          <w:szCs w:val="28"/>
        </w:rPr>
        <w:t>%，其中：流动资产增加</w:t>
      </w:r>
      <w:r>
        <w:rPr>
          <w:rFonts w:hint="eastAsia" w:ascii="仿宋" w:hAnsi="仿宋" w:eastAsia="仿宋" w:cs="仿宋"/>
          <w:snapToGrid w:val="0"/>
          <w:kern w:val="0"/>
          <w:sz w:val="28"/>
          <w:szCs w:val="28"/>
          <w:lang w:val="en-US" w:eastAsia="zh-CN"/>
        </w:rPr>
        <w:t xml:space="preserve">       </w:t>
      </w:r>
      <w:r>
        <w:rPr>
          <w:rFonts w:hint="eastAsia" w:ascii="仿宋" w:hAnsi="仿宋" w:eastAsia="仿宋" w:cs="仿宋"/>
          <w:snapToGrid w:val="0"/>
          <w:kern w:val="0"/>
          <w:sz w:val="28"/>
          <w:szCs w:val="28"/>
        </w:rPr>
        <w:t>元，增长率为</w:t>
      </w:r>
      <w:r>
        <w:rPr>
          <w:rFonts w:hint="eastAsia" w:ascii="仿宋" w:hAnsi="仿宋" w:eastAsia="仿宋" w:cs="仿宋"/>
          <w:snapToGrid w:val="0"/>
          <w:kern w:val="0"/>
          <w:sz w:val="28"/>
          <w:szCs w:val="28"/>
          <w:lang w:val="en-US" w:eastAsia="zh-CN"/>
        </w:rPr>
        <w:t xml:space="preserve">     </w:t>
      </w:r>
      <w:r>
        <w:rPr>
          <w:rFonts w:hint="eastAsia" w:ascii="仿宋" w:hAnsi="仿宋" w:eastAsia="仿宋" w:cs="仿宋"/>
          <w:snapToGrid w:val="0"/>
          <w:kern w:val="0"/>
          <w:sz w:val="28"/>
          <w:szCs w:val="28"/>
        </w:rPr>
        <w:t>%。</w:t>
      </w:r>
    </w:p>
    <w:p>
      <w:pPr>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影响流动资产增减的主要因素</w:t>
      </w:r>
      <w:r>
        <w:rPr>
          <w:rFonts w:hint="eastAsia" w:ascii="仿宋" w:hAnsi="仿宋" w:eastAsia="仿宋" w:cs="仿宋"/>
          <w:color w:val="000000" w:themeColor="text1"/>
          <w:sz w:val="28"/>
          <w:szCs w:val="28"/>
          <w14:textFill>
            <w14:solidFill>
              <w14:schemeClr w14:val="tx1"/>
            </w14:solidFill>
          </w14:textFill>
        </w:rPr>
        <w:t>：货币资金增加</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snapToGrid w:val="0"/>
          <w:kern w:val="0"/>
          <w:sz w:val="28"/>
          <w:szCs w:val="28"/>
        </w:rPr>
        <w:t>元，增长率为</w:t>
      </w:r>
      <w:r>
        <w:rPr>
          <w:rFonts w:hint="eastAsia" w:ascii="仿宋" w:hAnsi="仿宋" w:eastAsia="仿宋" w:cs="仿宋"/>
          <w:snapToGrid w:val="0"/>
          <w:kern w:val="0"/>
          <w:sz w:val="28"/>
          <w:szCs w:val="28"/>
          <w:lang w:val="en-US" w:eastAsia="zh-CN"/>
        </w:rPr>
        <w:t xml:space="preserve">     </w:t>
      </w:r>
      <w:r>
        <w:rPr>
          <w:rFonts w:hint="eastAsia" w:ascii="仿宋" w:hAnsi="仿宋" w:eastAsia="仿宋" w:cs="仿宋"/>
          <w:snapToGrid w:val="0"/>
          <w:kern w:val="0"/>
          <w:sz w:val="28"/>
          <w:szCs w:val="28"/>
        </w:rPr>
        <w:t>%，主要是收到XX镇府拨付各项经费增加所致。</w:t>
      </w:r>
    </w:p>
    <w:p>
      <w:pPr>
        <w:numPr>
          <w:ilvl w:val="0"/>
          <w:numId w:val="4"/>
        </w:numPr>
        <w:ind w:firstLine="560" w:firstLineChars="200"/>
        <w:rPr>
          <w:rFonts w:ascii="仿宋" w:hAnsi="仿宋" w:eastAsia="仿宋" w:cs="仿宋"/>
          <w:b/>
          <w:bCs/>
          <w:sz w:val="28"/>
          <w:szCs w:val="28"/>
        </w:rPr>
      </w:pPr>
      <w:r>
        <w:rPr>
          <w:rFonts w:hint="eastAsia" w:ascii="仿宋" w:hAnsi="仿宋" w:eastAsia="仿宋" w:cs="仿宋"/>
          <w:snapToGrid w:val="0"/>
          <w:kern w:val="0"/>
          <w:sz w:val="28"/>
          <w:szCs w:val="28"/>
        </w:rPr>
        <w:t>经审计，XX居委会任期内负债和所有者权益增减变动情况如下表：</w:t>
      </w:r>
    </w:p>
    <w:p>
      <w:pPr>
        <w:spacing w:before="156" w:beforeLines="50" w:after="156" w:afterLines="50"/>
        <w:ind w:firstLine="573" w:firstLineChars="204"/>
        <w:jc w:val="center"/>
        <w:rPr>
          <w:rFonts w:ascii="仿宋" w:hAnsi="仿宋" w:eastAsia="仿宋" w:cs="仿宋"/>
          <w:b/>
          <w:bCs/>
          <w:sz w:val="28"/>
          <w:szCs w:val="28"/>
        </w:rPr>
      </w:pPr>
      <w:r>
        <w:rPr>
          <w:rFonts w:hint="eastAsia" w:ascii="仿宋" w:hAnsi="仿宋" w:eastAsia="仿宋" w:cs="仿宋"/>
          <w:b/>
          <w:bCs/>
          <w:sz w:val="28"/>
          <w:szCs w:val="28"/>
        </w:rPr>
        <w:t>任期内负债和所有者权益变动情况表</w:t>
      </w:r>
    </w:p>
    <w:tbl>
      <w:tblPr>
        <w:tblStyle w:val="10"/>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90"/>
        <w:gridCol w:w="1559"/>
        <w:gridCol w:w="1490"/>
        <w:gridCol w:w="196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tblHeader/>
          <w:jc w:val="center"/>
        </w:trPr>
        <w:tc>
          <w:tcPr>
            <w:tcW w:w="1490" w:type="dxa"/>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项目</w:t>
            </w:r>
          </w:p>
        </w:tc>
        <w:tc>
          <w:tcPr>
            <w:tcW w:w="1559" w:type="dxa"/>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任期初</w:t>
            </w:r>
          </w:p>
        </w:tc>
        <w:tc>
          <w:tcPr>
            <w:tcW w:w="1490" w:type="dxa"/>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任期末</w:t>
            </w:r>
          </w:p>
        </w:tc>
        <w:tc>
          <w:tcPr>
            <w:tcW w:w="1960" w:type="dxa"/>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增减变动（+、-）</w:t>
            </w:r>
          </w:p>
        </w:tc>
        <w:tc>
          <w:tcPr>
            <w:tcW w:w="1519" w:type="dxa"/>
            <w:vAlign w:val="center"/>
          </w:tcPr>
          <w:p>
            <w:pPr>
              <w:jc w:val="center"/>
              <w:rPr>
                <w:rFonts w:ascii="仿宋" w:hAnsi="仿宋" w:eastAsia="仿宋" w:cs="仿宋"/>
                <w:b/>
                <w:color w:val="000000"/>
                <w:sz w:val="21"/>
                <w:szCs w:val="21"/>
              </w:rPr>
            </w:pPr>
            <w:r>
              <w:rPr>
                <w:rFonts w:hint="eastAsia" w:ascii="仿宋" w:hAnsi="仿宋" w:eastAsia="仿宋" w:cs="仿宋"/>
                <w:b/>
                <w:color w:val="000000"/>
                <w:sz w:val="21"/>
                <w:szCs w:val="21"/>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widowControl/>
              <w:textAlignment w:val="center"/>
              <w:rPr>
                <w:rFonts w:ascii="仿宋" w:hAnsi="仿宋" w:eastAsia="仿宋" w:cs="仿宋"/>
                <w:b/>
                <w:color w:val="000000"/>
                <w:sz w:val="21"/>
                <w:szCs w:val="21"/>
              </w:rPr>
            </w:pPr>
            <w:r>
              <w:rPr>
                <w:rFonts w:hint="eastAsia" w:ascii="仿宋" w:hAnsi="仿宋" w:eastAsia="仿宋" w:cs="仿宋"/>
                <w:b/>
                <w:bCs/>
                <w:color w:val="000000"/>
                <w:kern w:val="0"/>
                <w:sz w:val="21"/>
                <w:szCs w:val="21"/>
                <w:lang w:bidi="ar"/>
              </w:rPr>
              <w:t>流动负债：</w:t>
            </w:r>
          </w:p>
        </w:tc>
        <w:tc>
          <w:tcPr>
            <w:tcW w:w="1559" w:type="dxa"/>
            <w:vAlign w:val="center"/>
          </w:tcPr>
          <w:p>
            <w:pPr>
              <w:jc w:val="center"/>
              <w:rPr>
                <w:rFonts w:ascii="仿宋" w:hAnsi="仿宋" w:eastAsia="仿宋" w:cs="仿宋"/>
                <w:b/>
                <w:color w:val="000000"/>
                <w:sz w:val="21"/>
                <w:szCs w:val="21"/>
              </w:rPr>
            </w:pPr>
          </w:p>
        </w:tc>
        <w:tc>
          <w:tcPr>
            <w:tcW w:w="1490" w:type="dxa"/>
            <w:vAlign w:val="center"/>
          </w:tcPr>
          <w:p>
            <w:pPr>
              <w:jc w:val="center"/>
              <w:rPr>
                <w:rFonts w:ascii="仿宋" w:hAnsi="仿宋" w:eastAsia="仿宋" w:cs="仿宋"/>
                <w:b/>
                <w:color w:val="000000"/>
                <w:sz w:val="21"/>
                <w:szCs w:val="21"/>
              </w:rPr>
            </w:pPr>
          </w:p>
        </w:tc>
        <w:tc>
          <w:tcPr>
            <w:tcW w:w="1960" w:type="dxa"/>
            <w:vAlign w:val="center"/>
          </w:tcPr>
          <w:p>
            <w:pPr>
              <w:jc w:val="center"/>
              <w:rPr>
                <w:rFonts w:ascii="仿宋" w:hAnsi="仿宋" w:eastAsia="仿宋" w:cs="仿宋"/>
                <w:b/>
                <w:color w:val="000000"/>
                <w:sz w:val="21"/>
                <w:szCs w:val="21"/>
              </w:rPr>
            </w:pPr>
          </w:p>
        </w:tc>
        <w:tc>
          <w:tcPr>
            <w:tcW w:w="1519" w:type="dxa"/>
            <w:vAlign w:val="center"/>
          </w:tcPr>
          <w:p>
            <w:pPr>
              <w:jc w:val="center"/>
              <w:rPr>
                <w:rFonts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3" w:hRule="atLeast"/>
          <w:jc w:val="center"/>
        </w:trPr>
        <w:tc>
          <w:tcPr>
            <w:tcW w:w="1490" w:type="dxa"/>
            <w:vAlign w:val="bottom"/>
          </w:tcPr>
          <w:p>
            <w:pPr>
              <w:widowControl/>
              <w:jc w:val="left"/>
              <w:textAlignment w:val="center"/>
              <w:rPr>
                <w:rFonts w:ascii="仿宋" w:hAnsi="仿宋" w:eastAsia="仿宋" w:cs="仿宋"/>
                <w:bCs/>
                <w:color w:val="000000"/>
                <w:sz w:val="21"/>
                <w:szCs w:val="21"/>
              </w:rPr>
            </w:pPr>
            <w:r>
              <w:rPr>
                <w:rFonts w:hint="eastAsia" w:ascii="仿宋" w:hAnsi="仿宋" w:eastAsia="仿宋" w:cs="仿宋"/>
                <w:bCs/>
                <w:color w:val="000000"/>
                <w:sz w:val="21"/>
                <w:szCs w:val="21"/>
              </w:rPr>
              <w:t>短期借款</w:t>
            </w:r>
          </w:p>
        </w:tc>
        <w:tc>
          <w:tcPr>
            <w:tcW w:w="1559" w:type="dxa"/>
            <w:vAlign w:val="bottom"/>
          </w:tcPr>
          <w:p>
            <w:pPr>
              <w:widowControl/>
              <w:jc w:val="right"/>
              <w:textAlignment w:val="bottom"/>
              <w:rPr>
                <w:rFonts w:ascii="仿宋" w:hAnsi="仿宋" w:eastAsia="仿宋" w:cs="仿宋"/>
                <w:bCs/>
                <w:color w:val="000000"/>
                <w:sz w:val="21"/>
                <w:szCs w:val="21"/>
              </w:rPr>
            </w:pPr>
          </w:p>
        </w:tc>
        <w:tc>
          <w:tcPr>
            <w:tcW w:w="1490" w:type="dxa"/>
            <w:vAlign w:val="bottom"/>
          </w:tcPr>
          <w:p>
            <w:pPr>
              <w:widowControl/>
              <w:jc w:val="right"/>
              <w:textAlignment w:val="bottom"/>
              <w:rPr>
                <w:rFonts w:ascii="仿宋" w:hAnsi="仿宋" w:eastAsia="仿宋" w:cs="仿宋"/>
                <w:bCs/>
                <w:color w:val="000000"/>
                <w:sz w:val="21"/>
                <w:szCs w:val="21"/>
              </w:rPr>
            </w:pPr>
          </w:p>
        </w:tc>
        <w:tc>
          <w:tcPr>
            <w:tcW w:w="1960" w:type="dxa"/>
            <w:vAlign w:val="bottom"/>
          </w:tcPr>
          <w:p>
            <w:pPr>
              <w:widowControl/>
              <w:jc w:val="right"/>
              <w:textAlignment w:val="bottom"/>
              <w:rPr>
                <w:rFonts w:ascii="仿宋" w:hAnsi="仿宋" w:eastAsia="仿宋" w:cs="仿宋"/>
                <w:bCs/>
                <w:color w:val="000000"/>
                <w:sz w:val="21"/>
                <w:szCs w:val="21"/>
              </w:rPr>
            </w:pPr>
          </w:p>
        </w:tc>
        <w:tc>
          <w:tcPr>
            <w:tcW w:w="1519" w:type="dxa"/>
            <w:vAlign w:val="bottom"/>
          </w:tcPr>
          <w:p>
            <w:pPr>
              <w:widowControl/>
              <w:jc w:val="right"/>
              <w:textAlignment w:val="bottom"/>
              <w:rPr>
                <w:rFonts w:ascii="仿宋" w:hAnsi="仿宋" w:eastAsia="仿宋" w:cs="仿宋"/>
                <w:bCs/>
                <w:color w:val="000000"/>
                <w:sz w:val="21"/>
                <w:szCs w:val="21"/>
              </w:rPr>
            </w:pPr>
            <w:r>
              <w:rPr>
                <w:rFonts w:hint="eastAsia" w:ascii="仿宋" w:hAnsi="仿宋" w:eastAsia="仿宋" w:cs="仿宋"/>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jc w:val="left"/>
              <w:rPr>
                <w:rFonts w:ascii="仿宋" w:hAnsi="仿宋" w:eastAsia="仿宋" w:cs="仿宋"/>
                <w:b/>
                <w:color w:val="000000"/>
                <w:sz w:val="21"/>
                <w:szCs w:val="21"/>
              </w:rPr>
            </w:pPr>
            <w:r>
              <w:rPr>
                <w:rFonts w:hint="eastAsia" w:ascii="仿宋" w:hAnsi="仿宋" w:eastAsia="仿宋" w:cs="仿宋"/>
                <w:b/>
                <w:bCs/>
                <w:color w:val="000000"/>
                <w:kern w:val="0"/>
                <w:sz w:val="21"/>
                <w:szCs w:val="21"/>
                <w:lang w:bidi="ar"/>
              </w:rPr>
              <w:t>流动负债合计</w:t>
            </w:r>
          </w:p>
        </w:tc>
        <w:tc>
          <w:tcPr>
            <w:tcW w:w="1559" w:type="dxa"/>
            <w:vAlign w:val="bottom"/>
          </w:tcPr>
          <w:p>
            <w:pPr>
              <w:widowControl/>
              <w:jc w:val="right"/>
              <w:textAlignment w:val="bottom"/>
              <w:rPr>
                <w:rFonts w:ascii="仿宋" w:hAnsi="仿宋" w:eastAsia="仿宋" w:cs="仿宋"/>
                <w:b/>
                <w:color w:val="000000"/>
                <w:kern w:val="0"/>
                <w:sz w:val="21"/>
                <w:szCs w:val="21"/>
                <w:lang w:bidi="ar"/>
              </w:rPr>
            </w:pPr>
          </w:p>
        </w:tc>
        <w:tc>
          <w:tcPr>
            <w:tcW w:w="1490" w:type="dxa"/>
            <w:vAlign w:val="bottom"/>
          </w:tcPr>
          <w:p>
            <w:pPr>
              <w:widowControl/>
              <w:jc w:val="right"/>
              <w:textAlignment w:val="bottom"/>
              <w:rPr>
                <w:rFonts w:ascii="仿宋" w:hAnsi="仿宋" w:eastAsia="仿宋" w:cs="仿宋"/>
                <w:b/>
                <w:color w:val="000000"/>
                <w:kern w:val="0"/>
                <w:sz w:val="21"/>
                <w:szCs w:val="21"/>
                <w:lang w:bidi="ar"/>
              </w:rPr>
            </w:pPr>
          </w:p>
        </w:tc>
        <w:tc>
          <w:tcPr>
            <w:tcW w:w="1960" w:type="dxa"/>
            <w:vAlign w:val="bottom"/>
          </w:tcPr>
          <w:p>
            <w:pPr>
              <w:widowControl/>
              <w:jc w:val="right"/>
              <w:textAlignment w:val="bottom"/>
              <w:rPr>
                <w:rFonts w:ascii="仿宋" w:hAnsi="仿宋" w:eastAsia="仿宋" w:cs="仿宋"/>
                <w:b/>
                <w:color w:val="000000"/>
                <w:kern w:val="0"/>
                <w:sz w:val="21"/>
                <w:szCs w:val="21"/>
                <w:lang w:bidi="ar"/>
              </w:rPr>
            </w:pPr>
          </w:p>
        </w:tc>
        <w:tc>
          <w:tcPr>
            <w:tcW w:w="1519" w:type="dxa"/>
            <w:vAlign w:val="bottom"/>
          </w:tcPr>
          <w:p>
            <w:pPr>
              <w:widowControl/>
              <w:jc w:val="right"/>
              <w:textAlignment w:val="bottom"/>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jc w:val="left"/>
              <w:rPr>
                <w:rFonts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长期负债：</w:t>
            </w:r>
          </w:p>
        </w:tc>
        <w:tc>
          <w:tcPr>
            <w:tcW w:w="1559" w:type="dxa"/>
            <w:vAlign w:val="bottom"/>
          </w:tcPr>
          <w:p>
            <w:pPr>
              <w:widowControl/>
              <w:jc w:val="right"/>
              <w:textAlignment w:val="bottom"/>
              <w:rPr>
                <w:rFonts w:ascii="仿宋" w:hAnsi="仿宋" w:eastAsia="仿宋" w:cs="仿宋"/>
                <w:b/>
                <w:color w:val="000000"/>
                <w:kern w:val="0"/>
                <w:sz w:val="21"/>
                <w:szCs w:val="21"/>
                <w:lang w:bidi="ar"/>
              </w:rPr>
            </w:pPr>
          </w:p>
        </w:tc>
        <w:tc>
          <w:tcPr>
            <w:tcW w:w="1490" w:type="dxa"/>
            <w:vAlign w:val="bottom"/>
          </w:tcPr>
          <w:p>
            <w:pPr>
              <w:widowControl/>
              <w:jc w:val="right"/>
              <w:textAlignment w:val="bottom"/>
              <w:rPr>
                <w:rFonts w:ascii="仿宋" w:hAnsi="仿宋" w:eastAsia="仿宋" w:cs="仿宋"/>
                <w:b/>
                <w:color w:val="000000"/>
                <w:kern w:val="0"/>
                <w:sz w:val="21"/>
                <w:szCs w:val="21"/>
                <w:lang w:bidi="ar"/>
              </w:rPr>
            </w:pPr>
          </w:p>
        </w:tc>
        <w:tc>
          <w:tcPr>
            <w:tcW w:w="1960" w:type="dxa"/>
            <w:vAlign w:val="bottom"/>
          </w:tcPr>
          <w:p>
            <w:pPr>
              <w:widowControl/>
              <w:jc w:val="right"/>
              <w:textAlignment w:val="bottom"/>
              <w:rPr>
                <w:rFonts w:ascii="仿宋" w:hAnsi="仿宋" w:eastAsia="仿宋" w:cs="仿宋"/>
                <w:b/>
                <w:color w:val="000000"/>
                <w:kern w:val="0"/>
                <w:sz w:val="21"/>
                <w:szCs w:val="21"/>
                <w:lang w:bidi="ar"/>
              </w:rPr>
            </w:pPr>
          </w:p>
        </w:tc>
        <w:tc>
          <w:tcPr>
            <w:tcW w:w="1519" w:type="dxa"/>
            <w:vAlign w:val="bottom"/>
          </w:tcPr>
          <w:p>
            <w:pPr>
              <w:widowControl/>
              <w:jc w:val="right"/>
              <w:textAlignment w:val="bottom"/>
              <w:rPr>
                <w:rFonts w:ascii="仿宋" w:hAnsi="仿宋" w:eastAsia="仿宋" w:cs="仿宋"/>
                <w:b/>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jc w:val="left"/>
              <w:rPr>
                <w:rFonts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长期借款及应付款</w:t>
            </w:r>
          </w:p>
        </w:tc>
        <w:tc>
          <w:tcPr>
            <w:tcW w:w="1559" w:type="dxa"/>
            <w:vAlign w:val="bottom"/>
          </w:tcPr>
          <w:p>
            <w:pPr>
              <w:widowControl/>
              <w:jc w:val="right"/>
              <w:textAlignment w:val="bottom"/>
              <w:rPr>
                <w:rFonts w:ascii="仿宋" w:hAnsi="仿宋" w:eastAsia="仿宋" w:cs="仿宋"/>
                <w:b/>
                <w:color w:val="000000"/>
                <w:kern w:val="0"/>
                <w:sz w:val="21"/>
                <w:szCs w:val="21"/>
                <w:lang w:bidi="ar"/>
              </w:rPr>
            </w:pPr>
          </w:p>
        </w:tc>
        <w:tc>
          <w:tcPr>
            <w:tcW w:w="1490" w:type="dxa"/>
            <w:vAlign w:val="bottom"/>
          </w:tcPr>
          <w:p>
            <w:pPr>
              <w:widowControl/>
              <w:jc w:val="right"/>
              <w:textAlignment w:val="bottom"/>
              <w:rPr>
                <w:rFonts w:ascii="仿宋" w:hAnsi="仿宋" w:eastAsia="仿宋" w:cs="仿宋"/>
                <w:b/>
                <w:color w:val="000000"/>
                <w:kern w:val="0"/>
                <w:sz w:val="21"/>
                <w:szCs w:val="21"/>
                <w:lang w:bidi="ar"/>
              </w:rPr>
            </w:pPr>
          </w:p>
        </w:tc>
        <w:tc>
          <w:tcPr>
            <w:tcW w:w="1960" w:type="dxa"/>
            <w:vAlign w:val="bottom"/>
          </w:tcPr>
          <w:p>
            <w:pPr>
              <w:widowControl/>
              <w:jc w:val="right"/>
              <w:textAlignment w:val="bottom"/>
              <w:rPr>
                <w:rFonts w:ascii="仿宋" w:hAnsi="仿宋" w:eastAsia="仿宋" w:cs="仿宋"/>
                <w:b/>
                <w:color w:val="000000"/>
                <w:kern w:val="0"/>
                <w:sz w:val="21"/>
                <w:szCs w:val="21"/>
                <w:lang w:bidi="ar"/>
              </w:rPr>
            </w:pPr>
          </w:p>
        </w:tc>
        <w:tc>
          <w:tcPr>
            <w:tcW w:w="1519" w:type="dxa"/>
            <w:vAlign w:val="bottom"/>
          </w:tcPr>
          <w:p>
            <w:pPr>
              <w:widowControl/>
              <w:jc w:val="right"/>
              <w:textAlignment w:val="bottom"/>
              <w:rPr>
                <w:rFonts w:ascii="仿宋" w:hAnsi="仿宋" w:eastAsia="仿宋" w:cs="仿宋"/>
                <w:b/>
                <w:color w:val="000000"/>
                <w:kern w:val="0"/>
                <w:sz w:val="21"/>
                <w:szCs w:val="21"/>
                <w:lang w:bidi="ar"/>
              </w:rPr>
            </w:pPr>
            <w:r>
              <w:rPr>
                <w:rFonts w:hint="eastAsia" w:ascii="仿宋" w:hAnsi="仿宋" w:eastAsia="仿宋" w:cs="仿宋"/>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jc w:val="left"/>
              <w:rPr>
                <w:rFonts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长期负债合计</w:t>
            </w:r>
          </w:p>
        </w:tc>
        <w:tc>
          <w:tcPr>
            <w:tcW w:w="1559" w:type="dxa"/>
            <w:vAlign w:val="bottom"/>
          </w:tcPr>
          <w:p>
            <w:pPr>
              <w:widowControl/>
              <w:jc w:val="right"/>
              <w:textAlignment w:val="bottom"/>
              <w:rPr>
                <w:rFonts w:ascii="仿宋" w:hAnsi="仿宋" w:eastAsia="仿宋" w:cs="仿宋"/>
                <w:b/>
                <w:color w:val="000000"/>
                <w:kern w:val="0"/>
                <w:sz w:val="21"/>
                <w:szCs w:val="21"/>
                <w:lang w:bidi="ar"/>
              </w:rPr>
            </w:pPr>
          </w:p>
        </w:tc>
        <w:tc>
          <w:tcPr>
            <w:tcW w:w="1490" w:type="dxa"/>
            <w:vAlign w:val="bottom"/>
          </w:tcPr>
          <w:p>
            <w:pPr>
              <w:widowControl/>
              <w:jc w:val="right"/>
              <w:textAlignment w:val="bottom"/>
              <w:rPr>
                <w:rFonts w:ascii="仿宋" w:hAnsi="仿宋" w:eastAsia="仿宋" w:cs="仿宋"/>
                <w:b/>
                <w:color w:val="000000"/>
                <w:kern w:val="0"/>
                <w:sz w:val="21"/>
                <w:szCs w:val="21"/>
                <w:lang w:bidi="ar"/>
              </w:rPr>
            </w:pPr>
          </w:p>
        </w:tc>
        <w:tc>
          <w:tcPr>
            <w:tcW w:w="1960" w:type="dxa"/>
            <w:vAlign w:val="bottom"/>
          </w:tcPr>
          <w:p>
            <w:pPr>
              <w:widowControl/>
              <w:jc w:val="right"/>
              <w:textAlignment w:val="bottom"/>
              <w:rPr>
                <w:rFonts w:ascii="仿宋" w:hAnsi="仿宋" w:eastAsia="仿宋" w:cs="仿宋"/>
                <w:b/>
                <w:color w:val="000000"/>
                <w:kern w:val="0"/>
                <w:sz w:val="21"/>
                <w:szCs w:val="21"/>
                <w:lang w:bidi="ar"/>
              </w:rPr>
            </w:pPr>
          </w:p>
        </w:tc>
        <w:tc>
          <w:tcPr>
            <w:tcW w:w="1519" w:type="dxa"/>
            <w:vAlign w:val="bottom"/>
          </w:tcPr>
          <w:p>
            <w:pPr>
              <w:widowControl/>
              <w:jc w:val="right"/>
              <w:textAlignment w:val="bottom"/>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widowControl/>
              <w:jc w:val="center"/>
              <w:textAlignment w:val="center"/>
              <w:rPr>
                <w:rFonts w:ascii="仿宋" w:hAnsi="仿宋" w:eastAsia="仿宋" w:cs="仿宋"/>
                <w:b/>
                <w:color w:val="000000"/>
                <w:sz w:val="21"/>
                <w:szCs w:val="21"/>
              </w:rPr>
            </w:pPr>
            <w:r>
              <w:rPr>
                <w:rFonts w:hint="eastAsia" w:ascii="仿宋" w:hAnsi="仿宋" w:eastAsia="仿宋" w:cs="仿宋"/>
                <w:b/>
                <w:bCs/>
                <w:color w:val="000000"/>
                <w:kern w:val="0"/>
                <w:sz w:val="21"/>
                <w:szCs w:val="21"/>
                <w:lang w:bidi="ar"/>
              </w:rPr>
              <w:t>其他负债：</w:t>
            </w:r>
          </w:p>
        </w:tc>
        <w:tc>
          <w:tcPr>
            <w:tcW w:w="1559" w:type="dxa"/>
            <w:vAlign w:val="center"/>
          </w:tcPr>
          <w:p>
            <w:pPr>
              <w:jc w:val="center"/>
              <w:rPr>
                <w:rFonts w:ascii="仿宋" w:hAnsi="仿宋" w:eastAsia="仿宋" w:cs="仿宋"/>
                <w:b/>
                <w:color w:val="000000"/>
                <w:sz w:val="21"/>
                <w:szCs w:val="21"/>
              </w:rPr>
            </w:pPr>
          </w:p>
        </w:tc>
        <w:tc>
          <w:tcPr>
            <w:tcW w:w="1490" w:type="dxa"/>
            <w:vAlign w:val="center"/>
          </w:tcPr>
          <w:p>
            <w:pPr>
              <w:jc w:val="center"/>
              <w:rPr>
                <w:rFonts w:ascii="仿宋" w:hAnsi="仿宋" w:eastAsia="仿宋" w:cs="仿宋"/>
                <w:b/>
                <w:color w:val="000000"/>
                <w:sz w:val="21"/>
                <w:szCs w:val="21"/>
              </w:rPr>
            </w:pPr>
          </w:p>
        </w:tc>
        <w:tc>
          <w:tcPr>
            <w:tcW w:w="1960" w:type="dxa"/>
            <w:vAlign w:val="center"/>
          </w:tcPr>
          <w:p>
            <w:pPr>
              <w:jc w:val="center"/>
              <w:rPr>
                <w:rFonts w:ascii="仿宋" w:hAnsi="仿宋" w:eastAsia="仿宋" w:cs="仿宋"/>
                <w:b/>
                <w:color w:val="000000"/>
                <w:sz w:val="21"/>
                <w:szCs w:val="21"/>
              </w:rPr>
            </w:pPr>
          </w:p>
        </w:tc>
        <w:tc>
          <w:tcPr>
            <w:tcW w:w="1519" w:type="dxa"/>
            <w:vAlign w:val="center"/>
          </w:tcPr>
          <w:p>
            <w:pPr>
              <w:jc w:val="center"/>
              <w:rPr>
                <w:rFonts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widowControl/>
              <w:jc w:val="left"/>
              <w:textAlignment w:val="center"/>
              <w:rPr>
                <w:rFonts w:ascii="仿宋" w:hAnsi="仿宋" w:eastAsia="仿宋" w:cs="仿宋"/>
                <w:b/>
                <w:color w:val="000000"/>
                <w:sz w:val="21"/>
                <w:szCs w:val="21"/>
              </w:rPr>
            </w:pPr>
            <w:r>
              <w:rPr>
                <w:rFonts w:hint="eastAsia" w:ascii="仿宋" w:hAnsi="仿宋" w:eastAsia="仿宋" w:cs="仿宋"/>
                <w:color w:val="000000"/>
                <w:kern w:val="0"/>
                <w:sz w:val="21"/>
                <w:szCs w:val="21"/>
                <w:lang w:bidi="ar"/>
              </w:rPr>
              <w:t>专项应付款</w:t>
            </w:r>
          </w:p>
        </w:tc>
        <w:tc>
          <w:tcPr>
            <w:tcW w:w="1559" w:type="dxa"/>
            <w:vAlign w:val="bottom"/>
          </w:tcPr>
          <w:p>
            <w:pPr>
              <w:widowControl/>
              <w:jc w:val="right"/>
              <w:textAlignment w:val="bottom"/>
              <w:rPr>
                <w:rFonts w:ascii="仿宋" w:hAnsi="仿宋" w:eastAsia="仿宋" w:cs="仿宋"/>
                <w:bCs/>
                <w:color w:val="000000"/>
                <w:sz w:val="21"/>
                <w:szCs w:val="21"/>
              </w:rPr>
            </w:pPr>
          </w:p>
        </w:tc>
        <w:tc>
          <w:tcPr>
            <w:tcW w:w="1490" w:type="dxa"/>
            <w:vAlign w:val="bottom"/>
          </w:tcPr>
          <w:p>
            <w:pPr>
              <w:widowControl/>
              <w:jc w:val="right"/>
              <w:textAlignment w:val="bottom"/>
              <w:rPr>
                <w:rFonts w:ascii="仿宋" w:hAnsi="仿宋" w:eastAsia="仿宋" w:cs="仿宋"/>
                <w:bCs/>
                <w:color w:val="000000"/>
                <w:sz w:val="21"/>
                <w:szCs w:val="21"/>
              </w:rPr>
            </w:pPr>
          </w:p>
        </w:tc>
        <w:tc>
          <w:tcPr>
            <w:tcW w:w="1960" w:type="dxa"/>
            <w:vAlign w:val="bottom"/>
          </w:tcPr>
          <w:p>
            <w:pPr>
              <w:widowControl/>
              <w:jc w:val="right"/>
              <w:textAlignment w:val="bottom"/>
              <w:rPr>
                <w:rFonts w:ascii="仿宋" w:hAnsi="仿宋" w:eastAsia="仿宋" w:cs="仿宋"/>
                <w:bCs/>
                <w:color w:val="000000"/>
                <w:sz w:val="21"/>
                <w:szCs w:val="21"/>
              </w:rPr>
            </w:pPr>
          </w:p>
        </w:tc>
        <w:tc>
          <w:tcPr>
            <w:tcW w:w="1519" w:type="dxa"/>
            <w:vAlign w:val="bottom"/>
          </w:tcPr>
          <w:p>
            <w:pPr>
              <w:widowControl/>
              <w:jc w:val="right"/>
              <w:textAlignment w:val="bottom"/>
              <w:rPr>
                <w:rFonts w:ascii="仿宋" w:hAnsi="仿宋" w:eastAsia="仿宋" w:cs="仿宋"/>
                <w:bCs/>
                <w:color w:val="000000"/>
                <w:sz w:val="21"/>
                <w:szCs w:val="21"/>
              </w:rPr>
            </w:pPr>
            <w:r>
              <w:rPr>
                <w:rFonts w:hint="eastAsia" w:ascii="仿宋" w:hAnsi="仿宋" w:eastAsia="仿宋" w:cs="仿宋"/>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jc w:val="left"/>
              <w:rPr>
                <w:rFonts w:ascii="仿宋" w:hAnsi="仿宋" w:eastAsia="仿宋" w:cs="仿宋"/>
                <w:b/>
                <w:color w:val="000000"/>
                <w:sz w:val="21"/>
                <w:szCs w:val="21"/>
              </w:rPr>
            </w:pPr>
            <w:r>
              <w:rPr>
                <w:rFonts w:hint="eastAsia" w:ascii="仿宋" w:hAnsi="仿宋" w:eastAsia="仿宋" w:cs="仿宋"/>
                <w:b/>
                <w:bCs/>
                <w:color w:val="000000"/>
                <w:kern w:val="0"/>
                <w:sz w:val="21"/>
                <w:szCs w:val="21"/>
                <w:lang w:bidi="ar"/>
              </w:rPr>
              <w:t>其他负债合计</w:t>
            </w:r>
          </w:p>
        </w:tc>
        <w:tc>
          <w:tcPr>
            <w:tcW w:w="1559" w:type="dxa"/>
            <w:vAlign w:val="bottom"/>
          </w:tcPr>
          <w:p>
            <w:pPr>
              <w:widowControl/>
              <w:jc w:val="right"/>
              <w:textAlignment w:val="bottom"/>
              <w:rPr>
                <w:rFonts w:ascii="仿宋" w:hAnsi="仿宋" w:eastAsia="仿宋" w:cs="仿宋"/>
                <w:b/>
                <w:color w:val="000000"/>
                <w:sz w:val="21"/>
                <w:szCs w:val="21"/>
              </w:rPr>
            </w:pPr>
          </w:p>
        </w:tc>
        <w:tc>
          <w:tcPr>
            <w:tcW w:w="1490" w:type="dxa"/>
            <w:vAlign w:val="bottom"/>
          </w:tcPr>
          <w:p>
            <w:pPr>
              <w:widowControl/>
              <w:jc w:val="right"/>
              <w:textAlignment w:val="bottom"/>
              <w:rPr>
                <w:rFonts w:ascii="仿宋" w:hAnsi="仿宋" w:eastAsia="仿宋" w:cs="仿宋"/>
                <w:b/>
                <w:color w:val="000000"/>
                <w:sz w:val="21"/>
                <w:szCs w:val="21"/>
              </w:rPr>
            </w:pPr>
          </w:p>
        </w:tc>
        <w:tc>
          <w:tcPr>
            <w:tcW w:w="1960" w:type="dxa"/>
            <w:vAlign w:val="bottom"/>
          </w:tcPr>
          <w:p>
            <w:pPr>
              <w:widowControl/>
              <w:jc w:val="right"/>
              <w:textAlignment w:val="bottom"/>
              <w:rPr>
                <w:rFonts w:ascii="仿宋" w:hAnsi="仿宋" w:eastAsia="仿宋" w:cs="仿宋"/>
                <w:b/>
                <w:color w:val="000000"/>
                <w:sz w:val="21"/>
                <w:szCs w:val="21"/>
              </w:rPr>
            </w:pPr>
          </w:p>
        </w:tc>
        <w:tc>
          <w:tcPr>
            <w:tcW w:w="1519" w:type="dxa"/>
            <w:vAlign w:val="bottom"/>
          </w:tcPr>
          <w:p>
            <w:pPr>
              <w:widowControl/>
              <w:jc w:val="right"/>
              <w:textAlignment w:val="bottom"/>
              <w:rPr>
                <w:rFonts w:ascii="仿宋" w:hAnsi="仿宋" w:eastAsia="仿宋" w:cs="仿宋"/>
                <w:b/>
                <w:color w:val="000000"/>
                <w:sz w:val="21"/>
                <w:szCs w:val="21"/>
              </w:rPr>
            </w:pPr>
            <w:r>
              <w:rPr>
                <w:rFonts w:hint="eastAsia" w:ascii="仿宋" w:hAnsi="仿宋" w:eastAsia="仿宋" w:cs="仿宋"/>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jc w:val="center"/>
              <w:rPr>
                <w:rFonts w:ascii="仿宋" w:hAnsi="仿宋" w:eastAsia="仿宋" w:cs="仿宋"/>
                <w:b/>
                <w:color w:val="000000"/>
                <w:sz w:val="21"/>
                <w:szCs w:val="21"/>
              </w:rPr>
            </w:pPr>
            <w:r>
              <w:rPr>
                <w:rFonts w:hint="eastAsia" w:ascii="仿宋" w:hAnsi="仿宋" w:eastAsia="仿宋" w:cs="仿宋"/>
                <w:b/>
                <w:bCs/>
                <w:color w:val="000000"/>
                <w:kern w:val="0"/>
                <w:sz w:val="21"/>
                <w:szCs w:val="21"/>
                <w:lang w:bidi="ar"/>
              </w:rPr>
              <w:t>负债总计</w:t>
            </w:r>
          </w:p>
        </w:tc>
        <w:tc>
          <w:tcPr>
            <w:tcW w:w="1559" w:type="dxa"/>
            <w:vAlign w:val="bottom"/>
          </w:tcPr>
          <w:p>
            <w:pPr>
              <w:widowControl/>
              <w:jc w:val="right"/>
              <w:textAlignment w:val="bottom"/>
              <w:rPr>
                <w:rFonts w:ascii="仿宋" w:hAnsi="仿宋" w:eastAsia="仿宋" w:cs="仿宋"/>
                <w:b/>
                <w:color w:val="000000"/>
                <w:sz w:val="21"/>
                <w:szCs w:val="21"/>
              </w:rPr>
            </w:pPr>
          </w:p>
        </w:tc>
        <w:tc>
          <w:tcPr>
            <w:tcW w:w="1490" w:type="dxa"/>
            <w:vAlign w:val="bottom"/>
          </w:tcPr>
          <w:p>
            <w:pPr>
              <w:widowControl/>
              <w:jc w:val="right"/>
              <w:textAlignment w:val="bottom"/>
              <w:rPr>
                <w:rFonts w:ascii="仿宋" w:hAnsi="仿宋" w:eastAsia="仿宋" w:cs="仿宋"/>
                <w:b/>
                <w:color w:val="000000"/>
                <w:sz w:val="21"/>
                <w:szCs w:val="21"/>
              </w:rPr>
            </w:pPr>
          </w:p>
        </w:tc>
        <w:tc>
          <w:tcPr>
            <w:tcW w:w="1960" w:type="dxa"/>
            <w:vAlign w:val="bottom"/>
          </w:tcPr>
          <w:p>
            <w:pPr>
              <w:widowControl/>
              <w:jc w:val="right"/>
              <w:textAlignment w:val="bottom"/>
              <w:rPr>
                <w:rFonts w:ascii="仿宋" w:hAnsi="仿宋" w:eastAsia="仿宋" w:cs="仿宋"/>
                <w:b/>
                <w:color w:val="000000"/>
                <w:sz w:val="21"/>
                <w:szCs w:val="21"/>
              </w:rPr>
            </w:pPr>
          </w:p>
        </w:tc>
        <w:tc>
          <w:tcPr>
            <w:tcW w:w="1519" w:type="dxa"/>
            <w:vAlign w:val="bottom"/>
          </w:tcPr>
          <w:p>
            <w:pPr>
              <w:widowControl/>
              <w:jc w:val="right"/>
              <w:textAlignment w:val="bottom"/>
              <w:rPr>
                <w:rFonts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jc w:val="left"/>
              <w:rPr>
                <w:rFonts w:ascii="仿宋" w:hAnsi="仿宋" w:eastAsia="仿宋" w:cs="仿宋"/>
                <w:b/>
                <w:color w:val="000000"/>
                <w:sz w:val="21"/>
                <w:szCs w:val="21"/>
              </w:rPr>
            </w:pPr>
            <w:r>
              <w:rPr>
                <w:rFonts w:hint="eastAsia" w:ascii="仿宋" w:hAnsi="仿宋" w:eastAsia="仿宋" w:cs="仿宋"/>
                <w:b/>
                <w:bCs/>
                <w:color w:val="000000"/>
                <w:kern w:val="0"/>
                <w:sz w:val="21"/>
                <w:szCs w:val="21"/>
                <w:lang w:bidi="ar"/>
              </w:rPr>
              <w:t>所有者权益：</w:t>
            </w:r>
          </w:p>
        </w:tc>
        <w:tc>
          <w:tcPr>
            <w:tcW w:w="1559" w:type="dxa"/>
            <w:vAlign w:val="center"/>
          </w:tcPr>
          <w:p>
            <w:pPr>
              <w:jc w:val="center"/>
              <w:rPr>
                <w:rFonts w:ascii="仿宋" w:hAnsi="仿宋" w:eastAsia="仿宋" w:cs="仿宋"/>
                <w:b/>
                <w:color w:val="000000"/>
                <w:sz w:val="21"/>
                <w:szCs w:val="21"/>
              </w:rPr>
            </w:pPr>
          </w:p>
        </w:tc>
        <w:tc>
          <w:tcPr>
            <w:tcW w:w="1490" w:type="dxa"/>
            <w:vAlign w:val="center"/>
          </w:tcPr>
          <w:p>
            <w:pPr>
              <w:jc w:val="center"/>
              <w:rPr>
                <w:rFonts w:ascii="仿宋" w:hAnsi="仿宋" w:eastAsia="仿宋" w:cs="仿宋"/>
                <w:b/>
                <w:color w:val="000000"/>
                <w:sz w:val="21"/>
                <w:szCs w:val="21"/>
              </w:rPr>
            </w:pPr>
          </w:p>
        </w:tc>
        <w:tc>
          <w:tcPr>
            <w:tcW w:w="1960" w:type="dxa"/>
            <w:vAlign w:val="center"/>
          </w:tcPr>
          <w:p>
            <w:pPr>
              <w:jc w:val="center"/>
              <w:rPr>
                <w:rFonts w:ascii="仿宋" w:hAnsi="仿宋" w:eastAsia="仿宋" w:cs="仿宋"/>
                <w:b/>
                <w:color w:val="000000"/>
                <w:sz w:val="21"/>
                <w:szCs w:val="21"/>
              </w:rPr>
            </w:pPr>
          </w:p>
        </w:tc>
        <w:tc>
          <w:tcPr>
            <w:tcW w:w="1519" w:type="dxa"/>
            <w:vAlign w:val="center"/>
          </w:tcPr>
          <w:p>
            <w:pPr>
              <w:jc w:val="center"/>
              <w:rPr>
                <w:rFonts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widowControl/>
              <w:jc w:val="left"/>
              <w:textAlignment w:val="center"/>
              <w:rPr>
                <w:rFonts w:ascii="仿宋" w:hAnsi="仿宋" w:eastAsia="仿宋" w:cs="仿宋"/>
                <w:b/>
                <w:color w:val="000000"/>
                <w:sz w:val="21"/>
                <w:szCs w:val="21"/>
              </w:rPr>
            </w:pPr>
            <w:r>
              <w:rPr>
                <w:rFonts w:hint="eastAsia" w:ascii="仿宋" w:hAnsi="仿宋" w:eastAsia="仿宋" w:cs="仿宋"/>
                <w:color w:val="000000"/>
                <w:kern w:val="0"/>
                <w:sz w:val="21"/>
                <w:szCs w:val="21"/>
                <w:lang w:bidi="ar"/>
              </w:rPr>
              <w:t>公积公益金</w:t>
            </w:r>
          </w:p>
        </w:tc>
        <w:tc>
          <w:tcPr>
            <w:tcW w:w="1559" w:type="dxa"/>
            <w:vAlign w:val="bottom"/>
          </w:tcPr>
          <w:p>
            <w:pPr>
              <w:widowControl/>
              <w:jc w:val="right"/>
              <w:textAlignment w:val="bottom"/>
              <w:rPr>
                <w:rFonts w:ascii="仿宋" w:hAnsi="仿宋" w:eastAsia="仿宋" w:cs="仿宋"/>
                <w:bCs/>
                <w:color w:val="000000"/>
                <w:sz w:val="21"/>
                <w:szCs w:val="21"/>
              </w:rPr>
            </w:pPr>
          </w:p>
        </w:tc>
        <w:tc>
          <w:tcPr>
            <w:tcW w:w="1490" w:type="dxa"/>
            <w:vAlign w:val="bottom"/>
          </w:tcPr>
          <w:p>
            <w:pPr>
              <w:widowControl/>
              <w:jc w:val="right"/>
              <w:textAlignment w:val="bottom"/>
              <w:rPr>
                <w:rFonts w:ascii="仿宋" w:hAnsi="仿宋" w:eastAsia="仿宋" w:cs="仿宋"/>
                <w:bCs/>
                <w:color w:val="000000"/>
                <w:sz w:val="21"/>
                <w:szCs w:val="21"/>
              </w:rPr>
            </w:pPr>
          </w:p>
        </w:tc>
        <w:tc>
          <w:tcPr>
            <w:tcW w:w="1960" w:type="dxa"/>
            <w:vAlign w:val="bottom"/>
          </w:tcPr>
          <w:p>
            <w:pPr>
              <w:widowControl/>
              <w:jc w:val="right"/>
              <w:textAlignment w:val="bottom"/>
              <w:rPr>
                <w:rFonts w:ascii="仿宋" w:hAnsi="仿宋" w:eastAsia="仿宋" w:cs="仿宋"/>
                <w:bCs/>
                <w:color w:val="000000"/>
                <w:sz w:val="21"/>
                <w:szCs w:val="21"/>
              </w:rPr>
            </w:pPr>
          </w:p>
        </w:tc>
        <w:tc>
          <w:tcPr>
            <w:tcW w:w="1519" w:type="dxa"/>
            <w:vAlign w:val="bottom"/>
          </w:tcPr>
          <w:p>
            <w:pPr>
              <w:widowControl/>
              <w:jc w:val="right"/>
              <w:textAlignment w:val="bottom"/>
              <w:rPr>
                <w:rFonts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widowControl/>
              <w:jc w:val="left"/>
              <w:textAlignment w:val="center"/>
              <w:rPr>
                <w:rFonts w:ascii="仿宋" w:hAnsi="仿宋" w:eastAsia="仿宋" w:cs="仿宋"/>
                <w:b/>
                <w:color w:val="000000"/>
                <w:sz w:val="21"/>
                <w:szCs w:val="21"/>
              </w:rPr>
            </w:pPr>
            <w:r>
              <w:rPr>
                <w:rFonts w:hint="eastAsia" w:ascii="仿宋" w:hAnsi="仿宋" w:eastAsia="仿宋" w:cs="仿宋"/>
                <w:color w:val="000000"/>
                <w:kern w:val="0"/>
                <w:sz w:val="21"/>
                <w:szCs w:val="21"/>
                <w:lang w:bidi="ar"/>
              </w:rPr>
              <w:t>未分配收益</w:t>
            </w:r>
          </w:p>
        </w:tc>
        <w:tc>
          <w:tcPr>
            <w:tcW w:w="1559" w:type="dxa"/>
            <w:vAlign w:val="bottom"/>
          </w:tcPr>
          <w:p>
            <w:pPr>
              <w:widowControl/>
              <w:jc w:val="right"/>
              <w:textAlignment w:val="bottom"/>
              <w:rPr>
                <w:rFonts w:ascii="仿宋" w:hAnsi="仿宋" w:eastAsia="仿宋" w:cs="仿宋"/>
                <w:bCs/>
                <w:color w:val="000000"/>
                <w:sz w:val="21"/>
                <w:szCs w:val="21"/>
              </w:rPr>
            </w:pPr>
          </w:p>
        </w:tc>
        <w:tc>
          <w:tcPr>
            <w:tcW w:w="1490" w:type="dxa"/>
            <w:vAlign w:val="bottom"/>
          </w:tcPr>
          <w:p>
            <w:pPr>
              <w:widowControl/>
              <w:jc w:val="right"/>
              <w:textAlignment w:val="bottom"/>
              <w:rPr>
                <w:rFonts w:ascii="仿宋" w:hAnsi="仿宋" w:eastAsia="仿宋" w:cs="仿宋"/>
                <w:bCs/>
                <w:color w:val="000000"/>
                <w:sz w:val="21"/>
                <w:szCs w:val="21"/>
              </w:rPr>
            </w:pPr>
          </w:p>
        </w:tc>
        <w:tc>
          <w:tcPr>
            <w:tcW w:w="1960" w:type="dxa"/>
            <w:vAlign w:val="bottom"/>
          </w:tcPr>
          <w:p>
            <w:pPr>
              <w:widowControl/>
              <w:jc w:val="right"/>
              <w:textAlignment w:val="bottom"/>
              <w:rPr>
                <w:rFonts w:ascii="仿宋" w:hAnsi="仿宋" w:eastAsia="仿宋" w:cs="仿宋"/>
                <w:bCs/>
                <w:color w:val="000000"/>
                <w:sz w:val="21"/>
                <w:szCs w:val="21"/>
              </w:rPr>
            </w:pPr>
          </w:p>
        </w:tc>
        <w:tc>
          <w:tcPr>
            <w:tcW w:w="1519" w:type="dxa"/>
            <w:vAlign w:val="bottom"/>
          </w:tcPr>
          <w:p>
            <w:pPr>
              <w:widowControl/>
              <w:jc w:val="right"/>
              <w:textAlignment w:val="bottom"/>
              <w:rPr>
                <w:rFonts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widowControl/>
              <w:jc w:val="left"/>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所有者权益合计</w:t>
            </w:r>
          </w:p>
        </w:tc>
        <w:tc>
          <w:tcPr>
            <w:tcW w:w="1559" w:type="dxa"/>
            <w:vAlign w:val="bottom"/>
          </w:tcPr>
          <w:p>
            <w:pPr>
              <w:widowControl/>
              <w:jc w:val="right"/>
              <w:textAlignment w:val="bottom"/>
              <w:rPr>
                <w:rFonts w:ascii="仿宋" w:hAnsi="仿宋" w:eastAsia="仿宋" w:cs="仿宋"/>
                <w:b/>
                <w:bCs/>
                <w:color w:val="000000"/>
                <w:sz w:val="21"/>
                <w:szCs w:val="21"/>
              </w:rPr>
            </w:pPr>
          </w:p>
        </w:tc>
        <w:tc>
          <w:tcPr>
            <w:tcW w:w="1490" w:type="dxa"/>
            <w:vAlign w:val="bottom"/>
          </w:tcPr>
          <w:p>
            <w:pPr>
              <w:widowControl/>
              <w:jc w:val="right"/>
              <w:textAlignment w:val="bottom"/>
              <w:rPr>
                <w:rFonts w:ascii="仿宋" w:hAnsi="仿宋" w:eastAsia="仿宋" w:cs="仿宋"/>
                <w:b/>
                <w:bCs/>
                <w:color w:val="000000"/>
                <w:sz w:val="21"/>
                <w:szCs w:val="21"/>
              </w:rPr>
            </w:pPr>
          </w:p>
        </w:tc>
        <w:tc>
          <w:tcPr>
            <w:tcW w:w="1960" w:type="dxa"/>
            <w:vAlign w:val="bottom"/>
          </w:tcPr>
          <w:p>
            <w:pPr>
              <w:widowControl/>
              <w:jc w:val="right"/>
              <w:textAlignment w:val="bottom"/>
              <w:rPr>
                <w:rFonts w:ascii="仿宋" w:hAnsi="仿宋" w:eastAsia="仿宋" w:cs="仿宋"/>
                <w:b/>
                <w:bCs/>
                <w:color w:val="000000"/>
                <w:sz w:val="21"/>
                <w:szCs w:val="21"/>
              </w:rPr>
            </w:pPr>
          </w:p>
        </w:tc>
        <w:tc>
          <w:tcPr>
            <w:tcW w:w="1519" w:type="dxa"/>
            <w:vAlign w:val="bottom"/>
          </w:tcPr>
          <w:p>
            <w:pPr>
              <w:widowControl/>
              <w:jc w:val="right"/>
              <w:textAlignment w:val="bottom"/>
              <w:rPr>
                <w:rFonts w:ascii="仿宋" w:hAnsi="仿宋" w:eastAsia="仿宋" w:cs="仿宋"/>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1490" w:type="dxa"/>
            <w:vAlign w:val="bottom"/>
          </w:tcPr>
          <w:p>
            <w:pPr>
              <w:jc w:val="left"/>
              <w:rPr>
                <w:rFonts w:ascii="仿宋" w:hAnsi="仿宋" w:eastAsia="仿宋" w:cs="仿宋"/>
                <w:b/>
                <w:color w:val="000000"/>
                <w:sz w:val="21"/>
                <w:szCs w:val="21"/>
              </w:rPr>
            </w:pPr>
            <w:r>
              <w:rPr>
                <w:rFonts w:hint="eastAsia" w:ascii="仿宋" w:hAnsi="仿宋" w:eastAsia="仿宋" w:cs="仿宋"/>
                <w:b/>
                <w:bCs/>
                <w:color w:val="000000"/>
                <w:kern w:val="0"/>
                <w:sz w:val="21"/>
                <w:szCs w:val="21"/>
                <w:lang w:bidi="ar"/>
              </w:rPr>
              <w:t>负债及所有者权益总计</w:t>
            </w:r>
          </w:p>
        </w:tc>
        <w:tc>
          <w:tcPr>
            <w:tcW w:w="1559" w:type="dxa"/>
            <w:vAlign w:val="bottom"/>
          </w:tcPr>
          <w:p>
            <w:pPr>
              <w:widowControl/>
              <w:jc w:val="right"/>
              <w:textAlignment w:val="bottom"/>
              <w:rPr>
                <w:rFonts w:ascii="仿宋" w:hAnsi="仿宋" w:eastAsia="仿宋" w:cs="仿宋"/>
                <w:b/>
                <w:color w:val="000000"/>
                <w:sz w:val="21"/>
                <w:szCs w:val="21"/>
              </w:rPr>
            </w:pPr>
          </w:p>
        </w:tc>
        <w:tc>
          <w:tcPr>
            <w:tcW w:w="1490" w:type="dxa"/>
            <w:vAlign w:val="bottom"/>
          </w:tcPr>
          <w:p>
            <w:pPr>
              <w:widowControl/>
              <w:jc w:val="right"/>
              <w:textAlignment w:val="bottom"/>
              <w:rPr>
                <w:rFonts w:ascii="仿宋" w:hAnsi="仿宋" w:eastAsia="仿宋" w:cs="仿宋"/>
                <w:b/>
                <w:color w:val="000000"/>
                <w:sz w:val="21"/>
                <w:szCs w:val="21"/>
              </w:rPr>
            </w:pPr>
          </w:p>
        </w:tc>
        <w:tc>
          <w:tcPr>
            <w:tcW w:w="1960" w:type="dxa"/>
            <w:vAlign w:val="bottom"/>
          </w:tcPr>
          <w:p>
            <w:pPr>
              <w:widowControl/>
              <w:jc w:val="right"/>
              <w:textAlignment w:val="bottom"/>
              <w:rPr>
                <w:rFonts w:ascii="仿宋" w:hAnsi="仿宋" w:eastAsia="仿宋" w:cs="仿宋"/>
                <w:b/>
                <w:color w:val="000000"/>
                <w:sz w:val="21"/>
                <w:szCs w:val="21"/>
              </w:rPr>
            </w:pPr>
          </w:p>
        </w:tc>
        <w:tc>
          <w:tcPr>
            <w:tcW w:w="1519" w:type="dxa"/>
            <w:vAlign w:val="bottom"/>
          </w:tcPr>
          <w:p>
            <w:pPr>
              <w:widowControl/>
              <w:jc w:val="right"/>
              <w:textAlignment w:val="bottom"/>
              <w:rPr>
                <w:rFonts w:ascii="仿宋" w:hAnsi="仿宋" w:eastAsia="仿宋" w:cs="仿宋"/>
                <w:b/>
                <w:color w:val="000000"/>
                <w:sz w:val="21"/>
                <w:szCs w:val="21"/>
              </w:rPr>
            </w:pPr>
          </w:p>
        </w:tc>
      </w:tr>
    </w:tbl>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任期内负债增加</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元，均为其他负债-专项应付款增加，增长率为</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%，主要为应付环境整治专项资金增加所致。</w:t>
      </w:r>
    </w:p>
    <w:p>
      <w:pPr>
        <w:ind w:firstLine="560" w:firstLineChars="200"/>
        <w:rPr>
          <w:rFonts w:ascii="仿宋" w:hAnsi="仿宋" w:eastAsia="仿宋" w:cs="仿宋"/>
          <w:b/>
          <w:bCs/>
          <w:sz w:val="28"/>
          <w:szCs w:val="28"/>
        </w:rPr>
      </w:pPr>
      <w:r>
        <w:rPr>
          <w:rFonts w:hint="eastAsia" w:ascii="仿宋" w:hAnsi="仿宋" w:eastAsia="仿宋"/>
          <w:snapToGrid w:val="0"/>
          <w:kern w:val="0"/>
          <w:sz w:val="28"/>
          <w:szCs w:val="28"/>
        </w:rPr>
        <w:t>任期内所有者权益增加</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元，增长率为</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w:t>
      </w:r>
    </w:p>
    <w:p>
      <w:pPr>
        <w:spacing w:line="560" w:lineRule="exact"/>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2、收益及收益分配情况</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经审计，XX居委会2017年经营收入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元，管理费用368,225.15元，补助收入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元，其他收入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元，其他支出</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元，本年收益</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2018年经营收入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元，管理费用</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元，补助收入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元，其他收入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元，本年收益</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2019年经营收入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元，管理费用</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元，补助收入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元，其他收入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元，本年收益</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2020年</w:t>
      </w:r>
      <w:r>
        <w:rPr>
          <w:rFonts w:hint="eastAsia" w:ascii="仿宋" w:hAnsi="仿宋" w:eastAsia="仿宋"/>
          <w:snapToGrid w:val="0"/>
          <w:kern w:val="0"/>
          <w:sz w:val="28"/>
          <w:szCs w:val="28"/>
          <w:lang w:val="en-US" w:eastAsia="zh-CN"/>
        </w:rPr>
        <w:t>1月至9月</w:t>
      </w:r>
      <w:r>
        <w:rPr>
          <w:rFonts w:hint="eastAsia" w:ascii="仿宋" w:hAnsi="仿宋" w:eastAsia="仿宋"/>
          <w:snapToGrid w:val="0"/>
          <w:kern w:val="0"/>
          <w:sz w:val="28"/>
          <w:szCs w:val="28"/>
        </w:rPr>
        <w:t>经营收入</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元，管理费用</w:t>
      </w:r>
      <w:r>
        <w:rPr>
          <w:rFonts w:hint="eastAsia" w:ascii="仿宋" w:hAnsi="仿宋" w:eastAsia="仿宋"/>
          <w:snapToGrid w:val="0"/>
          <w:kern w:val="0"/>
          <w:sz w:val="28"/>
          <w:szCs w:val="28"/>
          <w:lang w:val="en-US" w:eastAsia="zh-CN"/>
        </w:rPr>
        <w:t xml:space="preserve">   </w:t>
      </w:r>
      <w:r>
        <w:rPr>
          <w:rFonts w:hint="eastAsia" w:ascii="仿宋" w:hAnsi="仿宋" w:eastAsia="仿宋"/>
          <w:snapToGrid w:val="0"/>
          <w:kern w:val="0"/>
          <w:sz w:val="28"/>
          <w:szCs w:val="28"/>
        </w:rPr>
        <w:t>元，补助收入元，其他收入元，本年收益元。</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具体详见下表：</w:t>
      </w:r>
    </w:p>
    <w:p>
      <w:pPr>
        <w:spacing w:before="156" w:beforeLines="50" w:after="156" w:afterLines="50"/>
        <w:ind w:firstLine="573" w:firstLineChars="204"/>
        <w:jc w:val="center"/>
        <w:rPr>
          <w:rFonts w:ascii="仿宋" w:hAnsi="仿宋" w:eastAsia="仿宋" w:cs="仿宋"/>
          <w:b/>
          <w:bCs/>
          <w:sz w:val="28"/>
          <w:szCs w:val="28"/>
        </w:rPr>
      </w:pPr>
    </w:p>
    <w:p>
      <w:pPr>
        <w:spacing w:before="156" w:beforeLines="50" w:after="156" w:afterLines="50"/>
        <w:ind w:firstLine="573" w:firstLineChars="204"/>
        <w:jc w:val="center"/>
        <w:rPr>
          <w:rFonts w:ascii="仿宋" w:hAnsi="仿宋" w:eastAsia="仿宋" w:cs="仿宋"/>
          <w:b/>
          <w:bCs/>
          <w:sz w:val="28"/>
          <w:szCs w:val="28"/>
        </w:rPr>
      </w:pPr>
      <w:r>
        <w:rPr>
          <w:rFonts w:hint="eastAsia" w:ascii="仿宋" w:hAnsi="仿宋" w:eastAsia="仿宋" w:cs="仿宋"/>
          <w:b/>
          <w:bCs/>
          <w:sz w:val="28"/>
          <w:szCs w:val="28"/>
        </w:rPr>
        <w:t>任期内收益及收益分配表</w:t>
      </w:r>
    </w:p>
    <w:tbl>
      <w:tblPr>
        <w:tblStyle w:val="10"/>
        <w:tblW w:w="8360"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30"/>
        <w:gridCol w:w="1630"/>
        <w:gridCol w:w="1530"/>
        <w:gridCol w:w="174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blHeader/>
        </w:trPr>
        <w:tc>
          <w:tcPr>
            <w:tcW w:w="1730" w:type="dxa"/>
            <w:vAlign w:val="center"/>
          </w:tcPr>
          <w:p>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sz w:val="21"/>
                <w:szCs w:val="21"/>
              </w:rPr>
              <w:t>项目</w:t>
            </w:r>
          </w:p>
        </w:tc>
        <w:tc>
          <w:tcPr>
            <w:tcW w:w="1630" w:type="dxa"/>
            <w:vAlign w:val="center"/>
          </w:tcPr>
          <w:p>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2017年度</w:t>
            </w:r>
          </w:p>
        </w:tc>
        <w:tc>
          <w:tcPr>
            <w:tcW w:w="1530" w:type="dxa"/>
            <w:vAlign w:val="center"/>
          </w:tcPr>
          <w:p>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2018年度</w:t>
            </w:r>
          </w:p>
        </w:tc>
        <w:tc>
          <w:tcPr>
            <w:tcW w:w="1740" w:type="dxa"/>
            <w:vAlign w:val="center"/>
          </w:tcPr>
          <w:p>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2019年度</w:t>
            </w:r>
          </w:p>
        </w:tc>
        <w:tc>
          <w:tcPr>
            <w:tcW w:w="1730" w:type="dxa"/>
            <w:vAlign w:val="center"/>
          </w:tcPr>
          <w:p>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2020年1-9月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一、经营收入</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出租收入</w:t>
            </w:r>
          </w:p>
        </w:tc>
        <w:tc>
          <w:tcPr>
            <w:tcW w:w="1630" w:type="dxa"/>
            <w:vAlign w:val="bottom"/>
          </w:tcPr>
          <w:p>
            <w:pPr>
              <w:widowControl/>
              <w:jc w:val="right"/>
              <w:textAlignment w:val="center"/>
              <w:rPr>
                <w:rFonts w:ascii="仿宋" w:hAnsi="仿宋" w:eastAsia="仿宋" w:cs="仿宋"/>
                <w:bCs/>
                <w:color w:val="000000"/>
                <w:kern w:val="0"/>
                <w:sz w:val="21"/>
                <w:szCs w:val="21"/>
              </w:rPr>
            </w:pPr>
          </w:p>
        </w:tc>
        <w:tc>
          <w:tcPr>
            <w:tcW w:w="1530" w:type="dxa"/>
            <w:vAlign w:val="bottom"/>
          </w:tcPr>
          <w:p>
            <w:pPr>
              <w:widowControl/>
              <w:jc w:val="right"/>
              <w:textAlignment w:val="center"/>
              <w:rPr>
                <w:rFonts w:ascii="仿宋" w:hAnsi="仿宋" w:eastAsia="仿宋" w:cs="仿宋"/>
                <w:bCs/>
                <w:color w:val="000000"/>
                <w:kern w:val="0"/>
                <w:sz w:val="21"/>
                <w:szCs w:val="21"/>
              </w:rPr>
            </w:pPr>
          </w:p>
        </w:tc>
        <w:tc>
          <w:tcPr>
            <w:tcW w:w="1740" w:type="dxa"/>
            <w:vAlign w:val="bottom"/>
          </w:tcPr>
          <w:p>
            <w:pPr>
              <w:widowControl/>
              <w:jc w:val="right"/>
              <w:textAlignment w:val="center"/>
              <w:rPr>
                <w:rFonts w:ascii="仿宋" w:hAnsi="仿宋" w:eastAsia="仿宋" w:cs="仿宋"/>
                <w:bCs/>
                <w:color w:val="000000"/>
                <w:kern w:val="0"/>
                <w:sz w:val="21"/>
                <w:szCs w:val="21"/>
              </w:rPr>
            </w:pPr>
          </w:p>
        </w:tc>
        <w:tc>
          <w:tcPr>
            <w:tcW w:w="1730" w:type="dxa"/>
            <w:vAlign w:val="bottom"/>
          </w:tcPr>
          <w:p>
            <w:pPr>
              <w:widowControl/>
              <w:jc w:val="right"/>
              <w:textAlignment w:val="center"/>
              <w:rPr>
                <w:rFonts w:ascii="仿宋" w:hAnsi="仿宋" w:eastAsia="仿宋" w:cs="仿宋"/>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其他经营收入</w:t>
            </w:r>
          </w:p>
        </w:tc>
        <w:tc>
          <w:tcPr>
            <w:tcW w:w="1630" w:type="dxa"/>
            <w:vAlign w:val="bottom"/>
          </w:tcPr>
          <w:p>
            <w:pPr>
              <w:widowControl/>
              <w:jc w:val="right"/>
              <w:textAlignment w:val="center"/>
              <w:rPr>
                <w:rFonts w:ascii="仿宋" w:hAnsi="仿宋" w:eastAsia="仿宋" w:cs="仿宋"/>
                <w:color w:val="000000"/>
                <w:kern w:val="0"/>
                <w:sz w:val="21"/>
                <w:szCs w:val="21"/>
                <w:lang w:bidi="ar"/>
              </w:rPr>
            </w:pPr>
          </w:p>
        </w:tc>
        <w:tc>
          <w:tcPr>
            <w:tcW w:w="1530" w:type="dxa"/>
            <w:vAlign w:val="bottom"/>
          </w:tcPr>
          <w:p>
            <w:pPr>
              <w:widowControl/>
              <w:jc w:val="right"/>
              <w:textAlignment w:val="center"/>
              <w:rPr>
                <w:rFonts w:ascii="仿宋" w:hAnsi="仿宋" w:eastAsia="仿宋" w:cs="仿宋"/>
                <w:color w:val="000000"/>
                <w:kern w:val="0"/>
                <w:sz w:val="21"/>
                <w:szCs w:val="21"/>
                <w:lang w:bidi="ar"/>
              </w:rPr>
            </w:pPr>
          </w:p>
        </w:tc>
        <w:tc>
          <w:tcPr>
            <w:tcW w:w="1740" w:type="dxa"/>
            <w:vAlign w:val="bottom"/>
          </w:tcPr>
          <w:p>
            <w:pPr>
              <w:widowControl/>
              <w:jc w:val="right"/>
              <w:textAlignment w:val="center"/>
              <w:rPr>
                <w:rFonts w:ascii="仿宋" w:hAnsi="仿宋" w:eastAsia="仿宋" w:cs="仿宋"/>
                <w:color w:val="000000"/>
                <w:kern w:val="0"/>
                <w:sz w:val="21"/>
                <w:szCs w:val="21"/>
                <w:lang w:bidi="ar"/>
              </w:rPr>
            </w:pPr>
          </w:p>
        </w:tc>
        <w:tc>
          <w:tcPr>
            <w:tcW w:w="1730" w:type="dxa"/>
            <w:vAlign w:val="bottom"/>
          </w:tcPr>
          <w:p>
            <w:pPr>
              <w:widowControl/>
              <w:jc w:val="right"/>
              <w:textAlignment w:val="center"/>
              <w:rPr>
                <w:rFonts w:ascii="仿宋" w:hAnsi="仿宋" w:eastAsia="仿宋" w:cs="仿宋"/>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减：管理费用</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其中：干部报酬</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其他管理及固定人员报酬</w:t>
            </w:r>
          </w:p>
        </w:tc>
        <w:tc>
          <w:tcPr>
            <w:tcW w:w="1630" w:type="dxa"/>
            <w:vAlign w:val="bottom"/>
          </w:tcPr>
          <w:p>
            <w:pPr>
              <w:widowControl/>
              <w:jc w:val="right"/>
              <w:textAlignment w:val="center"/>
              <w:rPr>
                <w:rFonts w:ascii="仿宋" w:hAnsi="仿宋" w:eastAsia="仿宋" w:cs="仿宋"/>
                <w:color w:val="000000"/>
                <w:kern w:val="0"/>
                <w:sz w:val="21"/>
                <w:szCs w:val="21"/>
              </w:rPr>
            </w:pPr>
          </w:p>
        </w:tc>
        <w:tc>
          <w:tcPr>
            <w:tcW w:w="1530" w:type="dxa"/>
            <w:vAlign w:val="bottom"/>
          </w:tcPr>
          <w:p>
            <w:pPr>
              <w:widowControl/>
              <w:jc w:val="right"/>
              <w:textAlignment w:val="center"/>
              <w:rPr>
                <w:rFonts w:ascii="仿宋" w:hAnsi="仿宋" w:eastAsia="仿宋" w:cs="仿宋"/>
                <w:color w:val="000000"/>
                <w:kern w:val="0"/>
                <w:sz w:val="21"/>
                <w:szCs w:val="21"/>
              </w:rPr>
            </w:pPr>
          </w:p>
        </w:tc>
        <w:tc>
          <w:tcPr>
            <w:tcW w:w="1740" w:type="dxa"/>
            <w:vAlign w:val="bottom"/>
          </w:tcPr>
          <w:p>
            <w:pPr>
              <w:widowControl/>
              <w:jc w:val="right"/>
              <w:textAlignment w:val="center"/>
              <w:rPr>
                <w:rFonts w:ascii="仿宋" w:hAnsi="仿宋" w:eastAsia="仿宋" w:cs="仿宋"/>
                <w:color w:val="000000"/>
                <w:kern w:val="0"/>
                <w:sz w:val="21"/>
                <w:szCs w:val="21"/>
              </w:rPr>
            </w:pPr>
          </w:p>
        </w:tc>
        <w:tc>
          <w:tcPr>
            <w:tcW w:w="1730" w:type="dxa"/>
            <w:vAlign w:val="bottom"/>
          </w:tcPr>
          <w:p>
            <w:pPr>
              <w:widowControl/>
              <w:jc w:val="right"/>
              <w:textAlignment w:val="center"/>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办公费</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水电费</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差旅费</w:t>
            </w:r>
          </w:p>
        </w:tc>
        <w:tc>
          <w:tcPr>
            <w:tcW w:w="1630" w:type="dxa"/>
            <w:vAlign w:val="bottom"/>
          </w:tcPr>
          <w:p>
            <w:pPr>
              <w:jc w:val="right"/>
              <w:rPr>
                <w:rFonts w:ascii="仿宋" w:hAnsi="仿宋" w:eastAsia="仿宋" w:cs="仿宋"/>
                <w:bCs/>
                <w:color w:val="000000"/>
                <w:kern w:val="0"/>
                <w:sz w:val="21"/>
                <w:szCs w:val="21"/>
              </w:rPr>
            </w:pPr>
          </w:p>
        </w:tc>
        <w:tc>
          <w:tcPr>
            <w:tcW w:w="1530" w:type="dxa"/>
            <w:vAlign w:val="bottom"/>
          </w:tcPr>
          <w:p>
            <w:pPr>
              <w:jc w:val="right"/>
              <w:rPr>
                <w:rFonts w:ascii="仿宋" w:hAnsi="仿宋" w:eastAsia="仿宋" w:cs="仿宋"/>
                <w:bCs/>
                <w:color w:val="000000"/>
                <w:kern w:val="0"/>
                <w:sz w:val="21"/>
                <w:szCs w:val="21"/>
              </w:rPr>
            </w:pPr>
          </w:p>
        </w:tc>
        <w:tc>
          <w:tcPr>
            <w:tcW w:w="1740" w:type="dxa"/>
            <w:vAlign w:val="bottom"/>
          </w:tcPr>
          <w:p>
            <w:pPr>
              <w:widowControl/>
              <w:jc w:val="right"/>
              <w:textAlignment w:val="center"/>
              <w:rPr>
                <w:rFonts w:ascii="仿宋" w:hAnsi="仿宋" w:eastAsia="仿宋" w:cs="仿宋"/>
                <w:bCs/>
                <w:color w:val="000000"/>
                <w:kern w:val="0"/>
                <w:sz w:val="21"/>
                <w:szCs w:val="21"/>
              </w:rPr>
            </w:pPr>
          </w:p>
        </w:tc>
        <w:tc>
          <w:tcPr>
            <w:tcW w:w="1730" w:type="dxa"/>
            <w:vAlign w:val="bottom"/>
          </w:tcPr>
          <w:p>
            <w:pPr>
              <w:jc w:val="right"/>
              <w:rPr>
                <w:rFonts w:ascii="仿宋" w:hAnsi="仿宋" w:eastAsia="仿宋" w:cs="仿宋"/>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会议费</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jc w:val="right"/>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邮电通信费</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jc w:val="right"/>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jc w:val="right"/>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机动车辆费</w:t>
            </w:r>
          </w:p>
        </w:tc>
        <w:tc>
          <w:tcPr>
            <w:tcW w:w="1630" w:type="dxa"/>
            <w:vAlign w:val="bottom"/>
          </w:tcPr>
          <w:p>
            <w:pPr>
              <w:jc w:val="right"/>
              <w:rPr>
                <w:rFonts w:ascii="仿宋" w:hAnsi="仿宋" w:eastAsia="仿宋" w:cs="仿宋"/>
                <w:b/>
                <w:color w:val="000000"/>
                <w:kern w:val="0"/>
                <w:sz w:val="21"/>
                <w:szCs w:val="21"/>
              </w:rPr>
            </w:pPr>
          </w:p>
        </w:tc>
        <w:tc>
          <w:tcPr>
            <w:tcW w:w="1530" w:type="dxa"/>
            <w:vAlign w:val="bottom"/>
          </w:tcPr>
          <w:p>
            <w:pPr>
              <w:jc w:val="right"/>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其他费用</w:t>
            </w:r>
          </w:p>
        </w:tc>
        <w:tc>
          <w:tcPr>
            <w:tcW w:w="1630" w:type="dxa"/>
            <w:vAlign w:val="bottom"/>
          </w:tcPr>
          <w:p>
            <w:pPr>
              <w:widowControl/>
              <w:jc w:val="right"/>
              <w:textAlignment w:val="center"/>
              <w:rPr>
                <w:rFonts w:ascii="仿宋" w:hAnsi="仿宋" w:eastAsia="仿宋" w:cs="仿宋"/>
                <w:color w:val="000000"/>
                <w:kern w:val="0"/>
                <w:sz w:val="21"/>
                <w:szCs w:val="21"/>
              </w:rPr>
            </w:pPr>
          </w:p>
        </w:tc>
        <w:tc>
          <w:tcPr>
            <w:tcW w:w="1530" w:type="dxa"/>
            <w:vAlign w:val="bottom"/>
          </w:tcPr>
          <w:p>
            <w:pPr>
              <w:widowControl/>
              <w:jc w:val="right"/>
              <w:textAlignment w:val="center"/>
              <w:rPr>
                <w:rFonts w:ascii="仿宋" w:hAnsi="仿宋" w:eastAsia="仿宋" w:cs="仿宋"/>
                <w:color w:val="000000"/>
                <w:kern w:val="0"/>
                <w:sz w:val="21"/>
                <w:szCs w:val="21"/>
              </w:rPr>
            </w:pPr>
          </w:p>
        </w:tc>
        <w:tc>
          <w:tcPr>
            <w:tcW w:w="1740" w:type="dxa"/>
            <w:vAlign w:val="bottom"/>
          </w:tcPr>
          <w:p>
            <w:pPr>
              <w:jc w:val="right"/>
              <w:rPr>
                <w:rFonts w:ascii="仿宋" w:hAnsi="仿宋" w:eastAsia="仿宋" w:cs="仿宋"/>
                <w:color w:val="000000"/>
                <w:kern w:val="0"/>
                <w:sz w:val="21"/>
                <w:szCs w:val="21"/>
              </w:rPr>
            </w:pPr>
          </w:p>
        </w:tc>
        <w:tc>
          <w:tcPr>
            <w:tcW w:w="1730" w:type="dxa"/>
            <w:vAlign w:val="bottom"/>
          </w:tcPr>
          <w:p>
            <w:pPr>
              <w:jc w:val="right"/>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二、经营收益</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加：补助收入</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县级财政补助</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镇级财政补助</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jc w:val="right"/>
              <w:rPr>
                <w:rFonts w:ascii="仿宋" w:hAnsi="仿宋" w:eastAsia="仿宋" w:cs="仿宋"/>
                <w:b/>
                <w:color w:val="000000"/>
                <w:kern w:val="0"/>
                <w:sz w:val="21"/>
                <w:szCs w:val="21"/>
              </w:rPr>
            </w:pPr>
          </w:p>
        </w:tc>
        <w:tc>
          <w:tcPr>
            <w:tcW w:w="1740" w:type="dxa"/>
            <w:vAlign w:val="bottom"/>
          </w:tcPr>
          <w:p>
            <w:pPr>
              <w:jc w:val="right"/>
              <w:rPr>
                <w:rFonts w:ascii="仿宋" w:hAnsi="仿宋" w:eastAsia="仿宋" w:cs="仿宋"/>
                <w:b/>
                <w:color w:val="000000"/>
                <w:kern w:val="0"/>
                <w:sz w:val="21"/>
                <w:szCs w:val="21"/>
              </w:rPr>
            </w:pPr>
          </w:p>
        </w:tc>
        <w:tc>
          <w:tcPr>
            <w:tcW w:w="1730" w:type="dxa"/>
            <w:vAlign w:val="bottom"/>
          </w:tcPr>
          <w:p>
            <w:pPr>
              <w:jc w:val="right"/>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ind w:firstLine="210" w:firstLineChars="100"/>
              <w:jc w:val="left"/>
              <w:textAlignment w:val="cente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其他部门补助</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加：其他收入</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 xml:space="preserve">    其中：存款利息收入</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其他</w:t>
            </w:r>
          </w:p>
        </w:tc>
        <w:tc>
          <w:tcPr>
            <w:tcW w:w="1630" w:type="dxa"/>
            <w:vAlign w:val="bottom"/>
          </w:tcPr>
          <w:p>
            <w:pPr>
              <w:widowControl/>
              <w:jc w:val="right"/>
              <w:textAlignment w:val="center"/>
              <w:rPr>
                <w:rFonts w:ascii="仿宋" w:hAnsi="仿宋" w:eastAsia="仿宋" w:cs="仿宋"/>
                <w:color w:val="000000"/>
                <w:kern w:val="0"/>
                <w:sz w:val="21"/>
                <w:szCs w:val="21"/>
                <w:lang w:bidi="ar"/>
              </w:rPr>
            </w:pPr>
          </w:p>
        </w:tc>
        <w:tc>
          <w:tcPr>
            <w:tcW w:w="1530" w:type="dxa"/>
            <w:vAlign w:val="bottom"/>
          </w:tcPr>
          <w:p>
            <w:pPr>
              <w:widowControl/>
              <w:jc w:val="right"/>
              <w:textAlignment w:val="center"/>
              <w:rPr>
                <w:rFonts w:ascii="仿宋" w:hAnsi="仿宋" w:eastAsia="仿宋" w:cs="仿宋"/>
                <w:color w:val="000000"/>
                <w:kern w:val="0"/>
                <w:sz w:val="21"/>
                <w:szCs w:val="21"/>
                <w:lang w:bidi="ar"/>
              </w:rPr>
            </w:pPr>
          </w:p>
        </w:tc>
        <w:tc>
          <w:tcPr>
            <w:tcW w:w="1740" w:type="dxa"/>
            <w:vAlign w:val="bottom"/>
          </w:tcPr>
          <w:p>
            <w:pPr>
              <w:jc w:val="right"/>
              <w:rPr>
                <w:rFonts w:ascii="仿宋" w:hAnsi="仿宋" w:eastAsia="仿宋" w:cs="仿宋"/>
                <w:color w:val="000000"/>
                <w:kern w:val="0"/>
                <w:sz w:val="21"/>
                <w:szCs w:val="21"/>
                <w:lang w:bidi="ar"/>
              </w:rPr>
            </w:pPr>
          </w:p>
        </w:tc>
        <w:tc>
          <w:tcPr>
            <w:tcW w:w="1730" w:type="dxa"/>
            <w:vAlign w:val="bottom"/>
          </w:tcPr>
          <w:p>
            <w:pPr>
              <w:jc w:val="right"/>
              <w:rPr>
                <w:rFonts w:ascii="仿宋" w:hAnsi="仿宋" w:eastAsia="仿宋" w:cs="仿宋"/>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
                <w:bCs/>
                <w:color w:val="000000"/>
                <w:kern w:val="0"/>
                <w:sz w:val="21"/>
                <w:szCs w:val="21"/>
              </w:rPr>
            </w:pPr>
            <w:r>
              <w:rPr>
                <w:rFonts w:hint="eastAsia" w:ascii="仿宋" w:hAnsi="仿宋" w:eastAsia="仿宋" w:cs="仿宋"/>
                <w:b/>
                <w:bCs/>
                <w:color w:val="000000"/>
                <w:kern w:val="0"/>
                <w:sz w:val="21"/>
                <w:szCs w:val="21"/>
                <w:lang w:bidi="ar"/>
              </w:rPr>
              <w:t>减：其他支出</w:t>
            </w:r>
          </w:p>
        </w:tc>
        <w:tc>
          <w:tcPr>
            <w:tcW w:w="1630" w:type="dxa"/>
            <w:vAlign w:val="bottom"/>
          </w:tcPr>
          <w:p>
            <w:pPr>
              <w:widowControl/>
              <w:jc w:val="right"/>
              <w:textAlignment w:val="center"/>
            </w:pPr>
          </w:p>
        </w:tc>
        <w:tc>
          <w:tcPr>
            <w:tcW w:w="1530" w:type="dxa"/>
            <w:vAlign w:val="bottom"/>
          </w:tcPr>
          <w:p>
            <w:pPr>
              <w:widowControl/>
              <w:jc w:val="right"/>
              <w:textAlignment w:val="center"/>
            </w:pPr>
          </w:p>
        </w:tc>
        <w:tc>
          <w:tcPr>
            <w:tcW w:w="1740" w:type="dxa"/>
            <w:vAlign w:val="bottom"/>
          </w:tcPr>
          <w:p>
            <w:pPr>
              <w:widowControl/>
              <w:jc w:val="right"/>
              <w:textAlignment w:val="center"/>
            </w:pPr>
          </w:p>
        </w:tc>
        <w:tc>
          <w:tcPr>
            <w:tcW w:w="1730" w:type="dxa"/>
            <w:vAlign w:val="bottom"/>
          </w:tcPr>
          <w:p>
            <w:pPr>
              <w:widowControl/>
              <w:jc w:val="right"/>
              <w:textAlignment w:val="center"/>
              <w:rPr>
                <w:rFonts w:ascii="仿宋" w:hAnsi="仿宋" w:eastAsia="仿宋" w:cs="仿宋"/>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 xml:space="preserve">  防汛抢险</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三、本年收益</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加：年初未分配收益</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四：可分配收益</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 xml:space="preserve">  1.提取应付福利费</w:t>
            </w:r>
          </w:p>
        </w:tc>
        <w:tc>
          <w:tcPr>
            <w:tcW w:w="1630" w:type="dxa"/>
            <w:vAlign w:val="bottom"/>
          </w:tcPr>
          <w:p>
            <w:pPr>
              <w:widowControl/>
              <w:jc w:val="right"/>
              <w:textAlignment w:val="center"/>
              <w:rPr>
                <w:rFonts w:ascii="仿宋" w:hAnsi="仿宋" w:eastAsia="仿宋" w:cs="仿宋"/>
                <w:b/>
                <w:color w:val="000000"/>
                <w:kern w:val="0"/>
                <w:sz w:val="21"/>
                <w:szCs w:val="21"/>
              </w:rPr>
            </w:pPr>
          </w:p>
        </w:tc>
        <w:tc>
          <w:tcPr>
            <w:tcW w:w="1530" w:type="dxa"/>
            <w:vAlign w:val="bottom"/>
          </w:tcPr>
          <w:p>
            <w:pPr>
              <w:widowControl/>
              <w:jc w:val="right"/>
              <w:textAlignment w:val="center"/>
              <w:rPr>
                <w:rFonts w:ascii="仿宋" w:hAnsi="仿宋" w:eastAsia="仿宋" w:cs="仿宋"/>
                <w:b/>
                <w:color w:val="000000"/>
                <w:kern w:val="0"/>
                <w:sz w:val="21"/>
                <w:szCs w:val="21"/>
              </w:rPr>
            </w:pPr>
          </w:p>
        </w:tc>
        <w:tc>
          <w:tcPr>
            <w:tcW w:w="1740" w:type="dxa"/>
            <w:vAlign w:val="bottom"/>
          </w:tcPr>
          <w:p>
            <w:pPr>
              <w:widowControl/>
              <w:jc w:val="right"/>
              <w:textAlignment w:val="center"/>
              <w:rPr>
                <w:rFonts w:ascii="仿宋" w:hAnsi="仿宋" w:eastAsia="仿宋" w:cs="仿宋"/>
                <w:b/>
                <w:color w:val="000000"/>
                <w:kern w:val="0"/>
                <w:sz w:val="21"/>
                <w:szCs w:val="21"/>
              </w:rPr>
            </w:pPr>
          </w:p>
        </w:tc>
        <w:tc>
          <w:tcPr>
            <w:tcW w:w="1730" w:type="dxa"/>
            <w:vAlign w:val="bottom"/>
          </w:tcPr>
          <w:p>
            <w:pPr>
              <w:widowControl/>
              <w:jc w:val="right"/>
              <w:textAlignment w:val="center"/>
              <w:rPr>
                <w:rFonts w:ascii="仿宋" w:hAnsi="仿宋" w:eastAsia="仿宋" w:cs="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rPr>
        <w:tc>
          <w:tcPr>
            <w:tcW w:w="1730" w:type="dxa"/>
            <w:vAlign w:val="bottom"/>
          </w:tcPr>
          <w:p>
            <w:pPr>
              <w:widowControl/>
              <w:jc w:val="left"/>
              <w:textAlignment w:val="center"/>
              <w:rPr>
                <w:rFonts w:ascii="仿宋" w:hAnsi="仿宋" w:eastAsia="仿宋" w:cs="仿宋"/>
                <w:b/>
                <w:bCs/>
                <w:color w:val="000000"/>
                <w:kern w:val="0"/>
                <w:sz w:val="21"/>
                <w:szCs w:val="21"/>
              </w:rPr>
            </w:pPr>
            <w:r>
              <w:rPr>
                <w:rFonts w:hint="eastAsia" w:ascii="仿宋" w:hAnsi="仿宋" w:eastAsia="仿宋" w:cs="仿宋"/>
                <w:b/>
                <w:bCs/>
                <w:color w:val="000000"/>
                <w:kern w:val="0"/>
                <w:sz w:val="21"/>
                <w:szCs w:val="21"/>
                <w:lang w:bidi="ar"/>
              </w:rPr>
              <w:t>五、年末未分配收益</w:t>
            </w:r>
          </w:p>
        </w:tc>
        <w:tc>
          <w:tcPr>
            <w:tcW w:w="1630" w:type="dxa"/>
            <w:vAlign w:val="bottom"/>
          </w:tcPr>
          <w:p>
            <w:pPr>
              <w:widowControl/>
              <w:jc w:val="right"/>
              <w:textAlignment w:val="center"/>
              <w:rPr>
                <w:rFonts w:ascii="仿宋" w:hAnsi="仿宋" w:eastAsia="仿宋" w:cs="仿宋"/>
                <w:b/>
                <w:bCs/>
                <w:color w:val="000000"/>
                <w:kern w:val="0"/>
                <w:sz w:val="21"/>
                <w:szCs w:val="21"/>
              </w:rPr>
            </w:pPr>
          </w:p>
        </w:tc>
        <w:tc>
          <w:tcPr>
            <w:tcW w:w="1530" w:type="dxa"/>
            <w:vAlign w:val="bottom"/>
          </w:tcPr>
          <w:p>
            <w:pPr>
              <w:widowControl/>
              <w:jc w:val="right"/>
              <w:textAlignment w:val="center"/>
              <w:rPr>
                <w:rFonts w:ascii="仿宋" w:hAnsi="仿宋" w:eastAsia="仿宋" w:cs="仿宋"/>
                <w:b/>
                <w:bCs/>
                <w:color w:val="000000"/>
                <w:kern w:val="0"/>
                <w:sz w:val="21"/>
                <w:szCs w:val="21"/>
              </w:rPr>
            </w:pPr>
          </w:p>
        </w:tc>
        <w:tc>
          <w:tcPr>
            <w:tcW w:w="1740" w:type="dxa"/>
            <w:vAlign w:val="bottom"/>
          </w:tcPr>
          <w:p>
            <w:pPr>
              <w:widowControl/>
              <w:jc w:val="right"/>
              <w:textAlignment w:val="center"/>
              <w:rPr>
                <w:rFonts w:ascii="仿宋" w:hAnsi="仿宋" w:eastAsia="仿宋" w:cs="仿宋"/>
                <w:b/>
                <w:bCs/>
                <w:color w:val="000000"/>
                <w:kern w:val="0"/>
                <w:sz w:val="21"/>
                <w:szCs w:val="21"/>
              </w:rPr>
            </w:pPr>
          </w:p>
        </w:tc>
        <w:tc>
          <w:tcPr>
            <w:tcW w:w="1730" w:type="dxa"/>
            <w:vAlign w:val="bottom"/>
          </w:tcPr>
          <w:p>
            <w:pPr>
              <w:widowControl/>
              <w:jc w:val="right"/>
              <w:textAlignment w:val="center"/>
              <w:rPr>
                <w:rFonts w:ascii="仿宋" w:hAnsi="仿宋" w:eastAsia="仿宋" w:cs="仿宋"/>
                <w:b/>
                <w:bCs/>
                <w:color w:val="000000"/>
                <w:kern w:val="0"/>
                <w:sz w:val="21"/>
                <w:szCs w:val="21"/>
              </w:rPr>
            </w:pPr>
          </w:p>
        </w:tc>
      </w:tr>
    </w:tbl>
    <w:p>
      <w:pPr>
        <w:pStyle w:val="2"/>
        <w:ind w:firstLine="560" w:firstLineChars="200"/>
      </w:pPr>
      <w:r>
        <w:rPr>
          <w:rFonts w:hint="eastAsia" w:ascii="仿宋" w:hAnsi="仿宋" w:eastAsia="仿宋"/>
          <w:sz w:val="28"/>
          <w:szCs w:val="28"/>
        </w:rPr>
        <w:t>说明：以上任期初指2017年7月1日，任期末指2020年9月30日。科目数据来源于账簿原始记录，无其他说明外，单位均为元。</w:t>
      </w:r>
    </w:p>
    <w:p>
      <w:pPr>
        <w:numPr>
          <w:ilvl w:val="0"/>
          <w:numId w:val="1"/>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审计评价意见</w:t>
      </w:r>
    </w:p>
    <w:p>
      <w:pPr>
        <w:numPr>
          <w:ilvl w:val="0"/>
          <w:numId w:val="5"/>
        </w:numPr>
        <w:ind w:firstLine="422" w:firstLineChars="150"/>
        <w:rPr>
          <w:rFonts w:ascii="仿宋" w:hAnsi="仿宋" w:eastAsia="仿宋" w:cs="仿宋"/>
          <w:b/>
          <w:bCs/>
          <w:sz w:val="28"/>
          <w:szCs w:val="28"/>
        </w:rPr>
      </w:pPr>
      <w:r>
        <w:rPr>
          <w:rFonts w:hint="eastAsia" w:ascii="仿宋" w:hAnsi="仿宋" w:eastAsia="仿宋" w:cs="仿宋"/>
          <w:b/>
          <w:bCs/>
          <w:sz w:val="28"/>
          <w:szCs w:val="28"/>
        </w:rPr>
        <w:t>贯彻落实党和国家方针政策情况</w:t>
      </w:r>
    </w:p>
    <w:p>
      <w:pPr>
        <w:pStyle w:val="2"/>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XX居委会在镇党委、镇政府的正确领导下,全面贯彻落实党的十九大全会精神，深入学习和实践科学发展观，全面贯彻落实上级党委、政府的“三农”政策。</w:t>
      </w:r>
    </w:p>
    <w:p>
      <w:pPr>
        <w:numPr>
          <w:ilvl w:val="0"/>
          <w:numId w:val="5"/>
        </w:numPr>
        <w:ind w:firstLine="422" w:firstLineChars="150"/>
        <w:rPr>
          <w:rFonts w:ascii="仿宋" w:hAnsi="仿宋" w:eastAsia="仿宋" w:cs="仿宋"/>
          <w:b/>
          <w:bCs/>
          <w:sz w:val="28"/>
          <w:szCs w:val="28"/>
        </w:rPr>
      </w:pPr>
      <w:r>
        <w:rPr>
          <w:rFonts w:hint="eastAsia" w:ascii="仿宋" w:hAnsi="仿宋" w:eastAsia="仿宋" w:cs="仿宋"/>
          <w:b/>
          <w:bCs/>
          <w:sz w:val="28"/>
          <w:szCs w:val="28"/>
        </w:rPr>
        <w:t>重大经济决策情况</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XX居委会重大经济决策程序严格执行集体决策，财务开支实行村委主任“一支笔”审批制度。其中规定所有开支必须先由经办人、证明人或验收人签名，再报村主任审批。XX居委会成立了</w:t>
      </w:r>
      <w:r>
        <w:rPr>
          <w:rFonts w:hint="eastAsia" w:ascii="仿宋" w:hAnsi="仿宋" w:eastAsia="仿宋"/>
          <w:sz w:val="28"/>
          <w:szCs w:val="28"/>
        </w:rPr>
        <w:t>村民监督委员会</w:t>
      </w:r>
      <w:r>
        <w:rPr>
          <w:rFonts w:hint="eastAsia" w:ascii="仿宋" w:hAnsi="仿宋" w:eastAsia="仿宋"/>
          <w:snapToGrid w:val="0"/>
          <w:kern w:val="0"/>
          <w:sz w:val="28"/>
          <w:szCs w:val="28"/>
        </w:rPr>
        <w:t>，主要成员有：   ，代表群众查阅会计账目和审计，负责监督检查财务制度的实施情况</w:t>
      </w:r>
      <w:r>
        <w:rPr>
          <w:rFonts w:hint="eastAsia" w:ascii="仿宋" w:hAnsi="仿宋" w:eastAsia="仿宋"/>
          <w:sz w:val="28"/>
          <w:szCs w:val="28"/>
        </w:rPr>
        <w:t>，其财务状况在每季度终了后，由报账员张贴在村务公开栏上，接受村民的监督。</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XX居委会的每笔支出均应由</w:t>
      </w:r>
      <w:r>
        <w:rPr>
          <w:rFonts w:hint="eastAsia" w:ascii="仿宋" w:hAnsi="仿宋" w:eastAsia="仿宋"/>
          <w:sz w:val="28"/>
          <w:szCs w:val="28"/>
        </w:rPr>
        <w:t>村民监督委员会</w:t>
      </w:r>
      <w:r>
        <w:rPr>
          <w:rFonts w:hint="eastAsia" w:ascii="仿宋" w:hAnsi="仿宋" w:eastAsia="仿宋"/>
          <w:snapToGrid w:val="0"/>
          <w:kern w:val="0"/>
          <w:sz w:val="28"/>
          <w:szCs w:val="28"/>
        </w:rPr>
        <w:t>盖章同意后，方可由报账员带有关单据凭证向XX镇农村会计服务中心代理会计办理报账，对于大额开支须经大多数村民同意或由村民代表大会讨论通过后才能申请支出，并附书面申请报告。对于群众关心的“一事一议”资金使用、各种农民补贴、土地补偿费的发放等重大事项，应召开相关的会议进行决策。</w:t>
      </w:r>
    </w:p>
    <w:p>
      <w:pPr>
        <w:ind w:firstLine="560" w:firstLineChars="200"/>
        <w:rPr>
          <w:rFonts w:ascii="仿宋" w:hAnsi="仿宋" w:eastAsia="仿宋" w:cs="仿宋"/>
          <w:b/>
          <w:bCs/>
          <w:sz w:val="28"/>
          <w:szCs w:val="28"/>
        </w:rPr>
      </w:pPr>
      <w:r>
        <w:rPr>
          <w:rFonts w:hint="eastAsia" w:ascii="仿宋" w:hAnsi="仿宋" w:eastAsia="仿宋"/>
          <w:snapToGrid w:val="0"/>
          <w:kern w:val="0"/>
          <w:sz w:val="28"/>
          <w:szCs w:val="28"/>
        </w:rPr>
        <w:t>经审查2017年7月至2020年9月会议记录，发现XX居委会决策程序基本符合相关制度规定，未发现决策失误造成重大经济损失的情况。</w:t>
      </w:r>
    </w:p>
    <w:p>
      <w:pPr>
        <w:numPr>
          <w:ilvl w:val="0"/>
          <w:numId w:val="5"/>
        </w:numPr>
        <w:spacing w:line="560" w:lineRule="exact"/>
        <w:ind w:firstLine="422" w:firstLineChars="150"/>
        <w:rPr>
          <w:rFonts w:ascii="仿宋" w:hAnsi="仿宋" w:eastAsia="仿宋"/>
          <w:b/>
          <w:bCs/>
          <w:snapToGrid w:val="0"/>
          <w:kern w:val="0"/>
          <w:sz w:val="28"/>
          <w:szCs w:val="28"/>
        </w:rPr>
      </w:pPr>
      <w:r>
        <w:rPr>
          <w:rFonts w:hint="eastAsia" w:ascii="仿宋" w:hAnsi="仿宋" w:eastAsia="仿宋"/>
          <w:b/>
          <w:bCs/>
          <w:snapToGrid w:val="0"/>
          <w:kern w:val="0"/>
          <w:sz w:val="28"/>
          <w:szCs w:val="28"/>
        </w:rPr>
        <w:t>重要建设项目及管理情况</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XX居委会认真开展工作，全心全意为村民办实事，积极完成各项工作任务。2017年7月至2020年9月XX居委会重要建设项目及管理情况如下：</w:t>
      </w:r>
    </w:p>
    <w:p>
      <w:pPr>
        <w:numPr>
          <w:ilvl w:val="0"/>
          <w:numId w:val="6"/>
        </w:numPr>
        <w:ind w:left="0"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加强财务管理制度，做好村务公开工作规范化、制度化。村账全面公开、真实、及时。</w:t>
      </w:r>
    </w:p>
    <w:p>
      <w:pPr>
        <w:numPr>
          <w:ilvl w:val="0"/>
          <w:numId w:val="6"/>
        </w:numPr>
        <w:ind w:left="0"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认真做好创文创卫、环境卫生、禁毒巡查、森林防火、防汛抗旱、查违查控、乡村振兴、三清三拆等各项工作。</w:t>
      </w:r>
    </w:p>
    <w:p>
      <w:pPr>
        <w:numPr>
          <w:ilvl w:val="0"/>
          <w:numId w:val="6"/>
        </w:numPr>
        <w:ind w:left="0"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成立治案巡逻队，加强社会治安综合治理，几年来投入资金12万元左右。</w:t>
      </w:r>
    </w:p>
    <w:p>
      <w:pPr>
        <w:numPr>
          <w:ilvl w:val="0"/>
          <w:numId w:val="6"/>
        </w:numPr>
        <w:ind w:left="0"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认真做好新医保居民的宣传、缴纳工作，确保工作顺利进行。</w:t>
      </w:r>
    </w:p>
    <w:p>
      <w:pPr>
        <w:numPr>
          <w:ilvl w:val="0"/>
          <w:numId w:val="6"/>
        </w:numPr>
        <w:ind w:left="0"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认真落实社会福利和民生工程，对低收入和弱势群体做到应保尽保，全面做好精准扶贫工作。</w:t>
      </w:r>
    </w:p>
    <w:p>
      <w:pPr>
        <w:numPr>
          <w:ilvl w:val="0"/>
          <w:numId w:val="6"/>
        </w:numPr>
        <w:ind w:left="0"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2020年疫情防控期间，设卡布控全面做好疫情防控各项工作，出动人员200多人，投入费用10多万元。</w:t>
      </w:r>
    </w:p>
    <w:p>
      <w:pPr>
        <w:numPr>
          <w:ilvl w:val="0"/>
          <w:numId w:val="5"/>
        </w:numPr>
        <w:spacing w:line="560" w:lineRule="exact"/>
        <w:ind w:firstLine="422" w:firstLineChars="150"/>
        <w:rPr>
          <w:rFonts w:ascii="仿宋" w:hAnsi="仿宋" w:eastAsia="仿宋"/>
          <w:b/>
          <w:bCs/>
          <w:snapToGrid w:val="0"/>
          <w:kern w:val="0"/>
          <w:sz w:val="28"/>
          <w:szCs w:val="28"/>
        </w:rPr>
      </w:pPr>
      <w:r>
        <w:rPr>
          <w:rFonts w:hint="eastAsia" w:ascii="仿宋" w:hAnsi="仿宋" w:eastAsia="仿宋"/>
          <w:b/>
          <w:bCs/>
          <w:snapToGrid w:val="0"/>
          <w:kern w:val="0"/>
          <w:sz w:val="28"/>
          <w:szCs w:val="28"/>
        </w:rPr>
        <w:t>党风廉政建设及遵守廉洁从政规定情况</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本次审计了XX居委会提供的2017年7月至2020年9月的会计账表、会计凭证及相关资料，未发现XX居委村干部存在违反廉洁规定的问题。</w:t>
      </w:r>
    </w:p>
    <w:p>
      <w:pPr>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XX居委会村干部任职期间，XX居委会在经费支出方面基本遵守了相关的财务管理制度，账务收支全部经由</w:t>
      </w:r>
      <w:r>
        <w:rPr>
          <w:rFonts w:hint="eastAsia" w:ascii="仿宋" w:hAnsi="仿宋" w:eastAsia="仿宋"/>
          <w:sz w:val="28"/>
          <w:szCs w:val="28"/>
        </w:rPr>
        <w:t>海丰县XX镇农村会计服务中心</w:t>
      </w:r>
      <w:r>
        <w:rPr>
          <w:rFonts w:hint="eastAsia" w:ascii="仿宋" w:hAnsi="仿宋" w:eastAsia="仿宋"/>
          <w:snapToGrid w:val="0"/>
          <w:kern w:val="0"/>
          <w:sz w:val="28"/>
          <w:szCs w:val="28"/>
        </w:rPr>
        <w:t>代理核算，未发现账外收入、支出等情形。</w:t>
      </w:r>
    </w:p>
    <w:p>
      <w:pPr>
        <w:numPr>
          <w:ilvl w:val="0"/>
          <w:numId w:val="1"/>
        </w:num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审计发现的问题和审计建议</w:t>
      </w:r>
    </w:p>
    <w:p>
      <w:pPr>
        <w:numPr>
          <w:ilvl w:val="0"/>
          <w:numId w:val="7"/>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现金管理方面</w:t>
      </w:r>
    </w:p>
    <w:p>
      <w:pPr>
        <w:numPr>
          <w:ilvl w:val="0"/>
          <w:numId w:val="8"/>
        </w:numPr>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个别费用使用大额现金</w:t>
      </w:r>
    </w:p>
    <w:p>
      <w:pPr>
        <w:ind w:firstLine="560" w:firstLineChars="200"/>
        <w:rPr>
          <w:rFonts w:ascii="仿宋" w:hAnsi="仿宋" w:eastAsia="仿宋"/>
          <w:sz w:val="28"/>
          <w:szCs w:val="28"/>
        </w:rPr>
      </w:pPr>
      <w:r>
        <w:rPr>
          <w:rFonts w:hint="eastAsia" w:ascii="仿宋" w:hAnsi="仿宋" w:eastAsia="仿宋" w:cs="仿宋"/>
          <w:sz w:val="28"/>
          <w:szCs w:val="28"/>
        </w:rPr>
        <w:t>经审计，发现XX居委会</w:t>
      </w:r>
      <w:r>
        <w:rPr>
          <w:rFonts w:hint="eastAsia" w:ascii="仿宋" w:hAnsi="仿宋" w:eastAsia="仿宋"/>
          <w:sz w:val="28"/>
          <w:szCs w:val="28"/>
        </w:rPr>
        <w:t>2017年7月至2020年9月的会计凭证中，存在</w:t>
      </w:r>
      <w:r>
        <w:rPr>
          <w:rFonts w:hint="eastAsia" w:ascii="仿宋" w:hAnsi="仿宋" w:eastAsia="仿宋" w:cs="仿宋"/>
          <w:sz w:val="28"/>
          <w:szCs w:val="28"/>
        </w:rPr>
        <w:t>个别</w:t>
      </w:r>
      <w:r>
        <w:rPr>
          <w:rFonts w:hint="eastAsia" w:ascii="仿宋" w:hAnsi="仿宋" w:eastAsia="仿宋"/>
          <w:sz w:val="28"/>
          <w:szCs w:val="28"/>
        </w:rPr>
        <w:t>费用使用大额现金的情况。</w:t>
      </w:r>
    </w:p>
    <w:p>
      <w:pPr>
        <w:ind w:firstLine="560" w:firstLineChars="200"/>
        <w:rPr>
          <w:rFonts w:ascii="仿宋" w:hAnsi="仿宋" w:eastAsia="仿宋" w:cs="仿宋"/>
          <w:sz w:val="28"/>
          <w:szCs w:val="28"/>
        </w:rPr>
      </w:pPr>
      <w:r>
        <w:rPr>
          <w:rFonts w:hint="eastAsia" w:ascii="仿宋" w:hAnsi="仿宋" w:eastAsia="仿宋" w:cs="仿宋"/>
          <w:sz w:val="28"/>
          <w:szCs w:val="28"/>
        </w:rPr>
        <w:t>上述事项与《现金管理暂行条例实施细则》第八条：“除本条例第六条第(五)、(六)项外，开户单位支付给个人的款项中，支付现金每人一次不得超过1000元，超过限额部分，根据提款人的要求在指定的银行转为储蓄存款或以支票、银行本票支付。确需全额支付现金的，应经开户银行审查后予以支付”及《现金管理暂行条例》第三条：“开户单位之间的经济往来，除按本条例规定的范围可以使用现金外，应当通过开户银行进行转账结算”的规定不符。</w:t>
      </w:r>
    </w:p>
    <w:p>
      <w:pPr>
        <w:ind w:firstLine="560" w:firstLineChars="200"/>
        <w:rPr>
          <w:rFonts w:ascii="仿宋" w:hAnsi="仿宋" w:eastAsia="仿宋" w:cs="仿宋"/>
          <w:sz w:val="28"/>
          <w:szCs w:val="28"/>
        </w:rPr>
      </w:pPr>
      <w:r>
        <w:rPr>
          <w:rFonts w:hint="eastAsia" w:ascii="仿宋" w:hAnsi="仿宋" w:eastAsia="仿宋" w:cs="仿宋"/>
          <w:sz w:val="28"/>
          <w:szCs w:val="28"/>
        </w:rPr>
        <w:t>建议：XX居委会应严格按照《中华人民共和国现金管理暂行条例》中有关现金支付的规定，完善资金管理，规范现金支付的范围及支出手续。</w:t>
      </w:r>
    </w:p>
    <w:p>
      <w:pPr>
        <w:numPr>
          <w:ilvl w:val="0"/>
          <w:numId w:val="8"/>
        </w:numPr>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单位备用金提取不规范</w:t>
      </w:r>
    </w:p>
    <w:p>
      <w:pPr>
        <w:ind w:firstLine="560" w:firstLineChars="200"/>
        <w:rPr>
          <w:rFonts w:ascii="仿宋" w:hAnsi="仿宋" w:eastAsia="仿宋"/>
          <w:sz w:val="28"/>
          <w:szCs w:val="28"/>
        </w:rPr>
      </w:pPr>
      <w:r>
        <w:rPr>
          <w:rFonts w:hint="eastAsia" w:ascii="仿宋" w:hAnsi="仿宋" w:eastAsia="仿宋" w:cs="仿宋"/>
          <w:sz w:val="28"/>
          <w:szCs w:val="28"/>
        </w:rPr>
        <w:t>经审计，发现XX居委会</w:t>
      </w:r>
      <w:r>
        <w:rPr>
          <w:rFonts w:hint="eastAsia" w:ascii="仿宋" w:hAnsi="仿宋" w:eastAsia="仿宋"/>
          <w:sz w:val="28"/>
          <w:szCs w:val="28"/>
        </w:rPr>
        <w:t>2017年7月至2020年9月的会计凭证中，存在大额提取单位备用金的情况。</w:t>
      </w:r>
    </w:p>
    <w:p>
      <w:pPr>
        <w:ind w:firstLine="560" w:firstLineChars="200"/>
        <w:rPr>
          <w:rFonts w:ascii="仿宋" w:hAnsi="仿宋" w:eastAsia="仿宋" w:cs="仿宋"/>
          <w:sz w:val="28"/>
          <w:szCs w:val="28"/>
        </w:rPr>
      </w:pPr>
      <w:r>
        <w:rPr>
          <w:rFonts w:hint="eastAsia" w:ascii="仿宋" w:hAnsi="仿宋" w:eastAsia="仿宋" w:cs="仿宋"/>
          <w:sz w:val="28"/>
          <w:szCs w:val="28"/>
        </w:rPr>
        <w:t>上述事项与财政部关于印发《村集体经济组织会计制度》的通知中：“</w:t>
      </w:r>
      <w:r>
        <w:rPr>
          <w:rFonts w:hint="eastAsia" w:ascii="仿宋" w:hAnsi="仿宋" w:eastAsia="仿宋" w:cs="仿宋"/>
          <w:color w:val="000000"/>
          <w:kern w:val="0"/>
          <w:sz w:val="28"/>
          <w:szCs w:val="28"/>
          <w:lang w:bidi="ar"/>
        </w:rPr>
        <w:t>(二)会计科目使用说明：二、村集体经济组织应当严格按照国家有关现金管理的规定收支现金,超过库存现金限额的部分应当及时交存银行,并严格按照本制度规定核算现金的各项收支业务“的规定不符。</w:t>
      </w:r>
    </w:p>
    <w:p>
      <w:pPr>
        <w:ind w:firstLine="560" w:firstLineChars="200"/>
        <w:rPr>
          <w:rFonts w:ascii="仿宋" w:hAnsi="仿宋" w:eastAsia="仿宋"/>
          <w:sz w:val="28"/>
          <w:szCs w:val="28"/>
        </w:rPr>
      </w:pPr>
      <w:r>
        <w:rPr>
          <w:rFonts w:hint="eastAsia" w:ascii="仿宋" w:hAnsi="仿宋" w:eastAsia="仿宋" w:cs="仿宋"/>
          <w:sz w:val="28"/>
          <w:szCs w:val="28"/>
        </w:rPr>
        <w:t>建议：XX居委会</w:t>
      </w:r>
      <w:r>
        <w:rPr>
          <w:rFonts w:hint="eastAsia" w:ascii="仿宋" w:hAnsi="仿宋" w:eastAsia="仿宋"/>
          <w:sz w:val="28"/>
          <w:szCs w:val="28"/>
        </w:rPr>
        <w:t>应严格按照《现金管理暂行条例》、《现金管理暂行条例实施细则》的规定，加强现金库存限额管理，确定村委现金的开支范围，不属于现金开支范围的业务应当通过银行办理转账结算，规范使用现金。</w:t>
      </w:r>
    </w:p>
    <w:p>
      <w:pPr>
        <w:numPr>
          <w:ilvl w:val="0"/>
          <w:numId w:val="8"/>
        </w:numPr>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未定期盘点库存现金</w:t>
      </w:r>
    </w:p>
    <w:p>
      <w:pPr>
        <w:ind w:firstLine="560" w:firstLineChars="200"/>
        <w:rPr>
          <w:rFonts w:ascii="仿宋" w:hAnsi="仿宋" w:eastAsia="仿宋" w:cs="仿宋"/>
          <w:sz w:val="28"/>
          <w:szCs w:val="28"/>
        </w:rPr>
      </w:pPr>
      <w:r>
        <w:rPr>
          <w:rFonts w:hint="eastAsia" w:ascii="仿宋" w:hAnsi="仿宋" w:eastAsia="仿宋" w:cs="仿宋"/>
          <w:sz w:val="28"/>
          <w:szCs w:val="28"/>
        </w:rPr>
        <w:t>经审计，发现XX居委会</w:t>
      </w:r>
      <w:r>
        <w:rPr>
          <w:rFonts w:hint="eastAsia" w:ascii="仿宋" w:hAnsi="仿宋" w:eastAsia="仿宋"/>
          <w:sz w:val="28"/>
          <w:szCs w:val="28"/>
        </w:rPr>
        <w:t>未定期对库存现金进行盘点</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上述事项与财政部关于印发《村集体经济组织会计制度》的通知中：“</w:t>
      </w:r>
      <w:r>
        <w:rPr>
          <w:rFonts w:hint="eastAsia" w:ascii="仿宋" w:hAnsi="仿宋" w:eastAsia="仿宋" w:cs="仿宋"/>
          <w:color w:val="000000"/>
          <w:kern w:val="0"/>
          <w:sz w:val="28"/>
          <w:szCs w:val="28"/>
          <w:lang w:bidi="ar"/>
        </w:rPr>
        <w:t>二、会计核算的基本要求(三)……村集体经济组织要及时、准确地核算现金收入、支出和结存,做到账</w:t>
      </w:r>
      <w:r>
        <w:rPr>
          <w:rFonts w:hint="eastAsia" w:ascii="仿宋" w:hAnsi="仿宋" w:eastAsia="仿宋" w:cs="仿宋"/>
          <w:sz w:val="28"/>
          <w:szCs w:val="28"/>
        </w:rPr>
        <w:t>款相符。要组织专人定期或不定期清点核对现金……”的规定不符。</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 xml:space="preserve">   </w:t>
      </w:r>
      <w:r>
        <w:rPr>
          <w:rFonts w:hint="eastAsia" w:ascii="仿宋" w:hAnsi="仿宋" w:eastAsia="仿宋" w:cs="仿宋"/>
          <w:sz w:val="28"/>
          <w:szCs w:val="28"/>
        </w:rPr>
        <w:t>建议：XX居委会应严格按照《村集体经济组织会计制度》，定期对库存现金进行盘点，避免出现私借挪用公款及私设账外资金的情况。</w:t>
      </w:r>
    </w:p>
    <w:p>
      <w:pPr>
        <w:numPr>
          <w:ilvl w:val="0"/>
          <w:numId w:val="7"/>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财务管理方面</w:t>
      </w:r>
    </w:p>
    <w:p>
      <w:pPr>
        <w:numPr>
          <w:ilvl w:val="0"/>
          <w:numId w:val="9"/>
        </w:numPr>
        <w:spacing w:line="360" w:lineRule="auto"/>
        <w:ind w:left="640" w:leftChars="200"/>
        <w:outlineLvl w:val="0"/>
        <w:rPr>
          <w:rFonts w:ascii="仿宋" w:hAnsi="仿宋" w:eastAsia="仿宋" w:cs="仿宋"/>
          <w:b/>
          <w:bCs/>
          <w:sz w:val="28"/>
          <w:szCs w:val="28"/>
        </w:rPr>
      </w:pPr>
      <w:r>
        <w:rPr>
          <w:rFonts w:hint="eastAsia" w:ascii="仿宋" w:hAnsi="仿宋" w:eastAsia="仿宋" w:cs="仿宋"/>
          <w:b/>
          <w:bCs/>
          <w:sz w:val="28"/>
          <w:szCs w:val="28"/>
        </w:rPr>
        <w:t>部分费用支出代签代领</w:t>
      </w:r>
    </w:p>
    <w:p>
      <w:pPr>
        <w:ind w:firstLine="560" w:firstLineChars="200"/>
        <w:rPr>
          <w:rFonts w:ascii="仿宋" w:hAnsi="仿宋" w:eastAsia="仿宋"/>
          <w:sz w:val="28"/>
          <w:szCs w:val="28"/>
        </w:rPr>
      </w:pPr>
      <w:r>
        <w:rPr>
          <w:rFonts w:hint="eastAsia" w:ascii="仿宋" w:hAnsi="仿宋" w:eastAsia="仿宋" w:cs="仿宋"/>
          <w:color w:val="000000"/>
          <w:kern w:val="0"/>
          <w:sz w:val="28"/>
          <w:szCs w:val="28"/>
          <w:lang w:bidi="ar"/>
        </w:rPr>
        <w:t>经审计，发现XX居委会存在部分费用支出代签代领的情况。例如：，其中个别补贴发放是代签代领，</w:t>
      </w:r>
      <w:r>
        <w:rPr>
          <w:rFonts w:hint="eastAsia" w:ascii="仿宋" w:hAnsi="仿宋" w:eastAsia="仿宋"/>
          <w:sz w:val="28"/>
          <w:szCs w:val="28"/>
        </w:rPr>
        <w:t>无法核实业务支出的真实性。</w:t>
      </w:r>
    </w:p>
    <w:p>
      <w:pPr>
        <w:ind w:firstLine="560" w:firstLineChars="200"/>
        <w:rPr>
          <w:rFonts w:ascii="仿宋" w:hAnsi="仿宋" w:eastAsia="仿宋" w:cs="仿宋"/>
          <w:sz w:val="28"/>
          <w:szCs w:val="28"/>
        </w:rPr>
      </w:pPr>
      <w:r>
        <w:rPr>
          <w:rFonts w:hint="eastAsia" w:ascii="仿宋" w:hAnsi="仿宋" w:eastAsia="仿宋" w:cs="仿宋"/>
          <w:sz w:val="28"/>
          <w:szCs w:val="28"/>
        </w:rPr>
        <w:t>建议：XX居委会应加强财务支出管理，规范签领手续，严禁代签代领，防止虚报冒领的现象发生，保障资金安全。</w:t>
      </w:r>
    </w:p>
    <w:p>
      <w:pPr>
        <w:numPr>
          <w:ilvl w:val="0"/>
          <w:numId w:val="7"/>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工程管理方面</w:t>
      </w:r>
    </w:p>
    <w:p>
      <w:pPr>
        <w:numPr>
          <w:ilvl w:val="0"/>
          <w:numId w:val="10"/>
        </w:numPr>
        <w:spacing w:line="360" w:lineRule="auto"/>
        <w:ind w:left="640" w:leftChars="200"/>
        <w:outlineLvl w:val="0"/>
        <w:rPr>
          <w:rFonts w:ascii="仿宋" w:hAnsi="仿宋" w:eastAsia="仿宋" w:cs="仿宋"/>
          <w:b/>
          <w:bCs/>
          <w:sz w:val="28"/>
          <w:szCs w:val="28"/>
        </w:rPr>
      </w:pPr>
      <w:r>
        <w:rPr>
          <w:rFonts w:hint="eastAsia" w:ascii="仿宋" w:hAnsi="仿宋" w:eastAsia="仿宋" w:cs="仿宋"/>
          <w:b/>
          <w:bCs/>
          <w:sz w:val="28"/>
          <w:szCs w:val="28"/>
        </w:rPr>
        <w:t>工程建设业务未预留工程质保金</w:t>
      </w:r>
    </w:p>
    <w:p>
      <w:pPr>
        <w:ind w:firstLine="560" w:firstLineChars="200"/>
        <w:rPr>
          <w:rFonts w:ascii="仿宋" w:hAnsi="仿宋" w:eastAsia="仿宋"/>
          <w:sz w:val="28"/>
          <w:szCs w:val="28"/>
        </w:rPr>
      </w:pPr>
      <w:r>
        <w:rPr>
          <w:rFonts w:hint="eastAsia" w:ascii="仿宋" w:hAnsi="仿宋" w:eastAsia="仿宋" w:cs="仿宋"/>
          <w:sz w:val="28"/>
          <w:szCs w:val="28"/>
        </w:rPr>
        <w:t>经检查，XX居委会</w:t>
      </w:r>
      <w:r>
        <w:rPr>
          <w:rFonts w:hint="eastAsia" w:ascii="仿宋" w:hAnsi="仿宋" w:eastAsia="仿宋"/>
          <w:sz w:val="28"/>
          <w:szCs w:val="28"/>
        </w:rPr>
        <w:t>存在工程建设项目未预留工程质量保证金，签订合同采用全款支付的情况。</w:t>
      </w:r>
    </w:p>
    <w:p>
      <w:pPr>
        <w:ind w:firstLine="560" w:firstLineChars="200"/>
        <w:rPr>
          <w:rFonts w:ascii="仿宋" w:hAnsi="仿宋" w:eastAsia="仿宋" w:cs="仿宋"/>
          <w:sz w:val="28"/>
          <w:szCs w:val="28"/>
        </w:rPr>
      </w:pPr>
      <w:r>
        <w:rPr>
          <w:rFonts w:hint="eastAsia" w:ascii="仿宋" w:hAnsi="仿宋" w:eastAsia="仿宋" w:cs="仿宋"/>
          <w:sz w:val="28"/>
          <w:szCs w:val="28"/>
        </w:rPr>
        <w:t>上述事项与《建设工程价款结算暂行办法》第十四条：“（四）工程竣工价款结算：发包人收到承包人递交的竣工结算报告及完整的结算资料后，应按本办法规定的期限（合同约定有期限的，从其约定）进行核实，给予确认或者提出修改意见。发包人根据确认的竣工结算报告向承包人支付工程竣工结算价款，保留5%左右的质量保证（保修）金，待工程交付使用一年质保期到期后清算（合同另有约定的，从其约定），质保期内如有返修，发生费用应在质量保证（保修）金内扣除”的规定不符。</w:t>
      </w:r>
    </w:p>
    <w:p>
      <w:pPr>
        <w:ind w:firstLine="560" w:firstLineChars="200"/>
        <w:rPr>
          <w:rFonts w:ascii="仿宋" w:hAnsi="仿宋" w:eastAsia="仿宋" w:cs="仿宋"/>
          <w:sz w:val="28"/>
          <w:szCs w:val="28"/>
        </w:rPr>
      </w:pPr>
      <w:r>
        <w:rPr>
          <w:rFonts w:hint="eastAsia" w:ascii="仿宋" w:hAnsi="仿宋" w:eastAsia="仿宋" w:cs="仿宋"/>
          <w:sz w:val="28"/>
          <w:szCs w:val="28"/>
        </w:rPr>
        <w:t>建议：XX居委会应加强风险意识，保留质保金，是作为其项目的</w:t>
      </w:r>
      <w:r>
        <w:rPr>
          <w:rFonts w:hint="eastAsia" w:ascii="仿宋" w:hAnsi="仿宋" w:eastAsia="仿宋"/>
          <w:sz w:val="28"/>
          <w:szCs w:val="28"/>
        </w:rPr>
        <w:t>质量保障措施</w:t>
      </w:r>
      <w:r>
        <w:rPr>
          <w:rFonts w:hint="eastAsia" w:ascii="仿宋" w:hAnsi="仿宋" w:eastAsia="仿宋" w:cs="仿宋"/>
          <w:sz w:val="28"/>
          <w:szCs w:val="28"/>
        </w:rPr>
        <w:t>；同时加强承包方的工程质量要求实行严格把关，督促施工单位高质量地完成工程项目。</w:t>
      </w:r>
    </w:p>
    <w:p>
      <w:pPr>
        <w:numPr>
          <w:ilvl w:val="0"/>
          <w:numId w:val="7"/>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固定资产管理方面</w:t>
      </w:r>
    </w:p>
    <w:p>
      <w:pPr>
        <w:numPr>
          <w:ilvl w:val="0"/>
          <w:numId w:val="11"/>
        </w:numPr>
        <w:spacing w:line="360" w:lineRule="auto"/>
        <w:ind w:left="640" w:leftChars="200"/>
        <w:outlineLvl w:val="0"/>
        <w:rPr>
          <w:rFonts w:ascii="仿宋" w:hAnsi="仿宋" w:eastAsia="仿宋" w:cs="仿宋"/>
          <w:b/>
          <w:bCs/>
          <w:sz w:val="28"/>
          <w:szCs w:val="28"/>
        </w:rPr>
      </w:pPr>
      <w:r>
        <w:rPr>
          <w:rFonts w:hint="eastAsia" w:ascii="仿宋" w:hAnsi="仿宋" w:eastAsia="仿宋" w:cs="仿宋"/>
          <w:b/>
          <w:bCs/>
          <w:sz w:val="28"/>
          <w:szCs w:val="28"/>
        </w:rPr>
        <w:t>达到固定资产入账价值未作固定资产核算</w:t>
      </w:r>
    </w:p>
    <w:p>
      <w:pPr>
        <w:ind w:firstLine="560" w:firstLineChars="200"/>
        <w:rPr>
          <w:rFonts w:ascii="仿宋" w:hAnsi="仿宋" w:eastAsia="仿宋" w:cs="仿宋"/>
          <w:sz w:val="28"/>
          <w:szCs w:val="28"/>
        </w:rPr>
      </w:pPr>
      <w:r>
        <w:rPr>
          <w:rFonts w:hint="eastAsia" w:ascii="仿宋" w:hAnsi="仿宋" w:eastAsia="仿宋" w:cs="仿宋"/>
          <w:sz w:val="28"/>
          <w:szCs w:val="28"/>
        </w:rPr>
        <w:t>经审计，发现XX居委会对达到固定资产入账价值的资产未做固定资产核算。例如：2020年6月8号凭证，购买元；上述资产达到固定资产入账价值未作固定资产核算。</w:t>
      </w:r>
    </w:p>
    <w:p>
      <w:pPr>
        <w:ind w:firstLine="560" w:firstLineChars="200"/>
        <w:rPr>
          <w:rFonts w:ascii="仿宋" w:hAnsi="仿宋" w:eastAsia="仿宋" w:cs="仿宋"/>
          <w:sz w:val="28"/>
          <w:szCs w:val="28"/>
        </w:rPr>
      </w:pPr>
      <w:r>
        <w:rPr>
          <w:rFonts w:hint="eastAsia" w:ascii="仿宋" w:hAnsi="仿宋" w:eastAsia="仿宋" w:cs="仿宋"/>
          <w:sz w:val="28"/>
          <w:szCs w:val="28"/>
        </w:rPr>
        <w:t>上述事项与财政部关于印发《村集体经济组织会计制度》的通知中(十四)：“村集体经济组织的房屋、建筑物、机器、设备、工具、器具和农业基本建设设施等劳动资料,凡使用年限在一年以上,单位价值在500元以上的列为固定资产。有些主要生产工具和设备,单位价值虽低于规定标准,但使用年限在一年以上的,也可列为固定资产”的规定不符。</w:t>
      </w:r>
    </w:p>
    <w:p>
      <w:pPr>
        <w:ind w:firstLine="560" w:firstLineChars="200"/>
        <w:rPr>
          <w:rFonts w:ascii="仿宋" w:hAnsi="仿宋" w:eastAsia="仿宋" w:cs="仿宋"/>
          <w:sz w:val="28"/>
          <w:szCs w:val="28"/>
        </w:rPr>
      </w:pPr>
      <w:r>
        <w:rPr>
          <w:rFonts w:hint="eastAsia" w:ascii="仿宋" w:hAnsi="仿宋" w:eastAsia="仿宋" w:cs="仿宋"/>
          <w:sz w:val="28"/>
          <w:szCs w:val="28"/>
        </w:rPr>
        <w:t>建议：XX居委会应加强资产的实物管理，应根据《村集体经济组织会计制度》的相关规定计入固定资产核算，确保固定资产账实相符。</w:t>
      </w:r>
    </w:p>
    <w:p>
      <w:pPr>
        <w:numPr>
          <w:ilvl w:val="0"/>
          <w:numId w:val="7"/>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采购管理方面</w:t>
      </w:r>
    </w:p>
    <w:p>
      <w:pPr>
        <w:numPr>
          <w:ilvl w:val="0"/>
          <w:numId w:val="12"/>
        </w:numPr>
        <w:spacing w:line="360" w:lineRule="auto"/>
        <w:ind w:left="640" w:leftChars="200"/>
        <w:outlineLvl w:val="0"/>
        <w:rPr>
          <w:rFonts w:ascii="仿宋" w:hAnsi="仿宋" w:eastAsia="仿宋" w:cs="仿宋"/>
          <w:b/>
          <w:bCs/>
          <w:sz w:val="28"/>
          <w:szCs w:val="28"/>
        </w:rPr>
      </w:pPr>
      <w:r>
        <w:rPr>
          <w:rFonts w:hint="eastAsia" w:ascii="仿宋" w:hAnsi="仿宋" w:eastAsia="仿宋" w:cs="仿宋"/>
          <w:b/>
          <w:bCs/>
          <w:sz w:val="28"/>
          <w:szCs w:val="28"/>
        </w:rPr>
        <w:t>采购程序不够规范</w:t>
      </w:r>
    </w:p>
    <w:p>
      <w:pPr>
        <w:ind w:firstLine="560" w:firstLineChars="200"/>
        <w:rPr>
          <w:rFonts w:ascii="仿宋" w:hAnsi="仿宋" w:eastAsia="仿宋" w:cs="仿宋"/>
          <w:sz w:val="28"/>
          <w:szCs w:val="28"/>
        </w:rPr>
      </w:pPr>
      <w:r>
        <w:rPr>
          <w:rFonts w:hint="eastAsia" w:ascii="仿宋" w:hAnsi="仿宋" w:eastAsia="仿宋" w:cs="仿宋"/>
          <w:sz w:val="28"/>
          <w:szCs w:val="28"/>
        </w:rPr>
        <w:t>本次检查工作中，我们查阅了采购相关的原始凭证附件，包括采购申请、采购合同、验收报告、入库单等，从采购业务各环节工作的合法合规、采购效率、合同履约情况等角度进行检查。检查结果如下：</w:t>
      </w:r>
    </w:p>
    <w:p>
      <w:pPr>
        <w:ind w:firstLine="560" w:firstLineChars="200"/>
        <w:rPr>
          <w:rFonts w:ascii="仿宋" w:hAnsi="仿宋" w:eastAsia="仿宋" w:cs="仿宋"/>
          <w:sz w:val="28"/>
          <w:szCs w:val="28"/>
        </w:rPr>
      </w:pPr>
      <w:r>
        <w:rPr>
          <w:rFonts w:hint="eastAsia" w:ascii="仿宋" w:hAnsi="仿宋" w:eastAsia="仿宋" w:cs="仿宋"/>
          <w:sz w:val="28"/>
          <w:szCs w:val="28"/>
        </w:rPr>
        <w:t>①采购未见相关事前申请；</w:t>
      </w:r>
    </w:p>
    <w:p>
      <w:pPr>
        <w:ind w:firstLine="560" w:firstLineChars="200"/>
        <w:rPr>
          <w:rFonts w:ascii="仿宋" w:hAnsi="仿宋" w:eastAsia="仿宋" w:cs="仿宋"/>
          <w:sz w:val="28"/>
          <w:szCs w:val="28"/>
        </w:rPr>
      </w:pPr>
      <w:r>
        <w:rPr>
          <w:rFonts w:hint="eastAsia" w:ascii="仿宋" w:hAnsi="仿宋" w:eastAsia="仿宋" w:cs="仿宋"/>
          <w:sz w:val="28"/>
          <w:szCs w:val="28"/>
        </w:rPr>
        <w:t>②自行采购均未见比价询价程序；</w:t>
      </w:r>
    </w:p>
    <w:p>
      <w:pPr>
        <w:ind w:firstLine="560" w:firstLineChars="200"/>
        <w:rPr>
          <w:rFonts w:ascii="仿宋" w:hAnsi="仿宋" w:eastAsia="仿宋" w:cs="仿宋"/>
          <w:sz w:val="28"/>
          <w:szCs w:val="28"/>
        </w:rPr>
      </w:pPr>
      <w:r>
        <w:rPr>
          <w:rFonts w:hint="eastAsia" w:ascii="仿宋" w:hAnsi="仿宋" w:eastAsia="仿宋" w:cs="仿宋"/>
          <w:sz w:val="28"/>
          <w:szCs w:val="28"/>
        </w:rPr>
        <w:t>③部分采购未见验收且未见相关领用单据；</w:t>
      </w:r>
    </w:p>
    <w:p>
      <w:pPr>
        <w:ind w:firstLine="560" w:firstLineChars="200"/>
        <w:rPr>
          <w:rFonts w:ascii="仿宋" w:hAnsi="仿宋" w:eastAsia="仿宋" w:cs="仿宋"/>
          <w:sz w:val="28"/>
          <w:szCs w:val="28"/>
        </w:rPr>
      </w:pPr>
      <w:r>
        <w:rPr>
          <w:rFonts w:hint="eastAsia" w:ascii="仿宋" w:hAnsi="仿宋" w:eastAsia="仿宋" w:cs="仿宋"/>
          <w:sz w:val="28"/>
          <w:szCs w:val="28"/>
        </w:rPr>
        <w:t>建议：XX居委会应严格按照相关规定的流程采购，加强采购活动事前事项管理、强化对采购申请合理合规性的审核、加强对采购活动执行过程中的监督与追踪。加强验收工作，按照投标书和采购合同规定的标准和方法组织对采购项目进行验收。</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中国注册会计师</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中 国·深 圳                    中国注册会计师</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ind w:firstLine="560" w:firstLineChars="200"/>
      </w:pPr>
      <w:r>
        <w:rPr>
          <w:rFonts w:hint="eastAsia" w:ascii="仿宋" w:hAnsi="仿宋" w:eastAsia="仿宋" w:cs="仿宋"/>
          <w:sz w:val="28"/>
          <w:szCs w:val="28"/>
        </w:rPr>
        <w:t xml:space="preserve">                                 二〇二</w:t>
      </w:r>
      <w:r>
        <w:rPr>
          <w:rFonts w:hint="eastAsia" w:ascii="仿宋" w:hAnsi="仿宋" w:eastAsia="仿宋" w:cs="仿宋"/>
          <w:sz w:val="28"/>
          <w:szCs w:val="28"/>
          <w:lang w:val="en-US" w:eastAsia="zh-CN"/>
        </w:rPr>
        <w:t>一</w:t>
      </w:r>
      <w:r>
        <w:rPr>
          <w:rFonts w:hint="eastAsia" w:ascii="仿宋" w:hAnsi="仿宋" w:eastAsia="仿宋" w:cs="仿宋"/>
          <w:sz w:val="28"/>
          <w:szCs w:val="28"/>
        </w:rPr>
        <w:t>年</w:t>
      </w:r>
      <w:r>
        <w:rPr>
          <w:rFonts w:hint="eastAsia" w:ascii="仿宋" w:hAnsi="仿宋" w:eastAsia="仿宋" w:cs="仿宋"/>
          <w:sz w:val="28"/>
          <w:szCs w:val="28"/>
          <w:lang w:val="en-US" w:eastAsia="zh-CN"/>
        </w:rPr>
        <w:t>六</w:t>
      </w:r>
      <w:bookmarkStart w:id="0" w:name="_GoBack"/>
      <w:bookmarkEnd w:id="0"/>
      <w:r>
        <w:rPr>
          <w:rFonts w:hint="eastAsia" w:ascii="仿宋" w:hAnsi="仿宋" w:eastAsia="仿宋" w:cs="仿宋"/>
          <w:sz w:val="28"/>
          <w:szCs w:val="28"/>
        </w:rPr>
        <w:t>月十四日</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E8F25"/>
    <w:multiLevelType w:val="singleLevel"/>
    <w:tmpl w:val="8C8E8F25"/>
    <w:lvl w:ilvl="0" w:tentative="0">
      <w:start w:val="1"/>
      <w:numFmt w:val="decimal"/>
      <w:suff w:val="nothing"/>
      <w:lvlText w:val="%1、"/>
      <w:lvlJc w:val="left"/>
      <w:pPr>
        <w:ind w:left="620" w:firstLine="0"/>
      </w:pPr>
    </w:lvl>
  </w:abstractNum>
  <w:abstractNum w:abstractNumId="1">
    <w:nsid w:val="9748286F"/>
    <w:multiLevelType w:val="singleLevel"/>
    <w:tmpl w:val="9748286F"/>
    <w:lvl w:ilvl="0" w:tentative="0">
      <w:start w:val="1"/>
      <w:numFmt w:val="decimal"/>
      <w:lvlText w:val="(%1)"/>
      <w:lvlJc w:val="left"/>
      <w:pPr>
        <w:ind w:left="425" w:hanging="425"/>
      </w:pPr>
      <w:rPr>
        <w:rFonts w:hint="default"/>
      </w:rPr>
    </w:lvl>
  </w:abstractNum>
  <w:abstractNum w:abstractNumId="2">
    <w:nsid w:val="9EDB81C3"/>
    <w:multiLevelType w:val="singleLevel"/>
    <w:tmpl w:val="9EDB81C3"/>
    <w:lvl w:ilvl="0" w:tentative="0">
      <w:start w:val="2"/>
      <w:numFmt w:val="decimal"/>
      <w:lvlText w:val="(%1)"/>
      <w:lvlJc w:val="left"/>
      <w:pPr>
        <w:tabs>
          <w:tab w:val="left" w:pos="312"/>
        </w:tabs>
      </w:pPr>
    </w:lvl>
  </w:abstractNum>
  <w:abstractNum w:abstractNumId="3">
    <w:nsid w:val="A27370ED"/>
    <w:multiLevelType w:val="singleLevel"/>
    <w:tmpl w:val="A27370ED"/>
    <w:lvl w:ilvl="0" w:tentative="0">
      <w:start w:val="1"/>
      <w:numFmt w:val="decimal"/>
      <w:suff w:val="nothing"/>
      <w:lvlText w:val="%1、"/>
      <w:lvlJc w:val="left"/>
    </w:lvl>
  </w:abstractNum>
  <w:abstractNum w:abstractNumId="4">
    <w:nsid w:val="D3A04438"/>
    <w:multiLevelType w:val="singleLevel"/>
    <w:tmpl w:val="D3A04438"/>
    <w:lvl w:ilvl="0" w:tentative="0">
      <w:start w:val="1"/>
      <w:numFmt w:val="decimal"/>
      <w:suff w:val="nothing"/>
      <w:lvlText w:val="%1、"/>
      <w:lvlJc w:val="left"/>
    </w:lvl>
  </w:abstractNum>
  <w:abstractNum w:abstractNumId="5">
    <w:nsid w:val="F855D309"/>
    <w:multiLevelType w:val="singleLevel"/>
    <w:tmpl w:val="F855D309"/>
    <w:lvl w:ilvl="0" w:tentative="0">
      <w:start w:val="1"/>
      <w:numFmt w:val="decimal"/>
      <w:suff w:val="nothing"/>
      <w:lvlText w:val="%1、"/>
      <w:lvlJc w:val="left"/>
    </w:lvl>
  </w:abstractNum>
  <w:abstractNum w:abstractNumId="6">
    <w:nsid w:val="FDC3989C"/>
    <w:multiLevelType w:val="singleLevel"/>
    <w:tmpl w:val="FDC3989C"/>
    <w:lvl w:ilvl="0" w:tentative="0">
      <w:start w:val="1"/>
      <w:numFmt w:val="chineseCounting"/>
      <w:suff w:val="nothing"/>
      <w:lvlText w:val="（%1）"/>
      <w:lvlJc w:val="left"/>
      <w:rPr>
        <w:rFonts w:hint="eastAsia"/>
      </w:rPr>
    </w:lvl>
  </w:abstractNum>
  <w:abstractNum w:abstractNumId="7">
    <w:nsid w:val="3A790E4F"/>
    <w:multiLevelType w:val="singleLevel"/>
    <w:tmpl w:val="3A790E4F"/>
    <w:lvl w:ilvl="0" w:tentative="0">
      <w:start w:val="1"/>
      <w:numFmt w:val="decimal"/>
      <w:suff w:val="nothing"/>
      <w:lvlText w:val="%1、"/>
      <w:lvlJc w:val="left"/>
    </w:lvl>
  </w:abstractNum>
  <w:abstractNum w:abstractNumId="8">
    <w:nsid w:val="3A926AA7"/>
    <w:multiLevelType w:val="singleLevel"/>
    <w:tmpl w:val="3A926AA7"/>
    <w:lvl w:ilvl="0" w:tentative="0">
      <w:start w:val="1"/>
      <w:numFmt w:val="decimal"/>
      <w:suff w:val="nothing"/>
      <w:lvlText w:val="%1、"/>
      <w:lvlJc w:val="left"/>
    </w:lvl>
  </w:abstractNum>
  <w:abstractNum w:abstractNumId="9">
    <w:nsid w:val="4D52DBD7"/>
    <w:multiLevelType w:val="singleLevel"/>
    <w:tmpl w:val="4D52DBD7"/>
    <w:lvl w:ilvl="0" w:tentative="0">
      <w:start w:val="1"/>
      <w:numFmt w:val="chineseCounting"/>
      <w:suff w:val="nothing"/>
      <w:lvlText w:val="（%1）"/>
      <w:lvlJc w:val="left"/>
      <w:rPr>
        <w:rFonts w:hint="eastAsia"/>
      </w:rPr>
    </w:lvl>
  </w:abstractNum>
  <w:abstractNum w:abstractNumId="10">
    <w:nsid w:val="5151900D"/>
    <w:multiLevelType w:val="singleLevel"/>
    <w:tmpl w:val="5151900D"/>
    <w:lvl w:ilvl="0" w:tentative="0">
      <w:start w:val="1"/>
      <w:numFmt w:val="chineseCounting"/>
      <w:suff w:val="nothing"/>
      <w:lvlText w:val="（%1）"/>
      <w:lvlJc w:val="left"/>
    </w:lvl>
  </w:abstractNum>
  <w:abstractNum w:abstractNumId="11">
    <w:nsid w:val="58C4C16C"/>
    <w:multiLevelType w:val="singleLevel"/>
    <w:tmpl w:val="58C4C16C"/>
    <w:lvl w:ilvl="0" w:tentative="0">
      <w:start w:val="1"/>
      <w:numFmt w:val="chineseCounting"/>
      <w:suff w:val="nothing"/>
      <w:lvlText w:val="%1、"/>
      <w:lvlJc w:val="left"/>
    </w:lvl>
  </w:abstractNum>
  <w:num w:numId="1">
    <w:abstractNumId w:val="11"/>
  </w:num>
  <w:num w:numId="2">
    <w:abstractNumId w:val="6"/>
  </w:num>
  <w:num w:numId="3">
    <w:abstractNumId w:val="1"/>
  </w:num>
  <w:num w:numId="4">
    <w:abstractNumId w:val="2"/>
  </w:num>
  <w:num w:numId="5">
    <w:abstractNumId w:val="10"/>
  </w:num>
  <w:num w:numId="6">
    <w:abstractNumId w:val="0"/>
  </w:num>
  <w:num w:numId="7">
    <w:abstractNumId w:val="9"/>
  </w:num>
  <w:num w:numId="8">
    <w:abstractNumId w:val="3"/>
  </w:num>
  <w:num w:numId="9">
    <w:abstractNumId w:val="5"/>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63A49"/>
    <w:rsid w:val="00102EB1"/>
    <w:rsid w:val="0026784E"/>
    <w:rsid w:val="002E6F63"/>
    <w:rsid w:val="003D2EB1"/>
    <w:rsid w:val="003F2838"/>
    <w:rsid w:val="00405A10"/>
    <w:rsid w:val="006D0645"/>
    <w:rsid w:val="00722196"/>
    <w:rsid w:val="007B236C"/>
    <w:rsid w:val="007F775E"/>
    <w:rsid w:val="008520D2"/>
    <w:rsid w:val="00874401"/>
    <w:rsid w:val="00A2244C"/>
    <w:rsid w:val="00B40F8F"/>
    <w:rsid w:val="00D43929"/>
    <w:rsid w:val="00DC6ED0"/>
    <w:rsid w:val="00DD111F"/>
    <w:rsid w:val="00DF169B"/>
    <w:rsid w:val="00E971C2"/>
    <w:rsid w:val="00F17631"/>
    <w:rsid w:val="00FA63B5"/>
    <w:rsid w:val="013D1D50"/>
    <w:rsid w:val="013F28D8"/>
    <w:rsid w:val="01653A0C"/>
    <w:rsid w:val="01704A46"/>
    <w:rsid w:val="01917BBA"/>
    <w:rsid w:val="01B42102"/>
    <w:rsid w:val="01CB7670"/>
    <w:rsid w:val="021106D3"/>
    <w:rsid w:val="022B361E"/>
    <w:rsid w:val="023C5BBC"/>
    <w:rsid w:val="026A6418"/>
    <w:rsid w:val="026F7CCF"/>
    <w:rsid w:val="027D42CE"/>
    <w:rsid w:val="02DA18C9"/>
    <w:rsid w:val="02E75467"/>
    <w:rsid w:val="02F23DD6"/>
    <w:rsid w:val="030A1C5D"/>
    <w:rsid w:val="03213688"/>
    <w:rsid w:val="033B64E6"/>
    <w:rsid w:val="036075EB"/>
    <w:rsid w:val="03B60D73"/>
    <w:rsid w:val="03CB73E1"/>
    <w:rsid w:val="03D03C60"/>
    <w:rsid w:val="03D0555E"/>
    <w:rsid w:val="03F824AF"/>
    <w:rsid w:val="03FE75DD"/>
    <w:rsid w:val="0463177D"/>
    <w:rsid w:val="04B234DA"/>
    <w:rsid w:val="05262292"/>
    <w:rsid w:val="054A08D7"/>
    <w:rsid w:val="05617DC8"/>
    <w:rsid w:val="056E23F2"/>
    <w:rsid w:val="05803D67"/>
    <w:rsid w:val="058D446F"/>
    <w:rsid w:val="059054AA"/>
    <w:rsid w:val="05994367"/>
    <w:rsid w:val="05D75910"/>
    <w:rsid w:val="0624124F"/>
    <w:rsid w:val="06321868"/>
    <w:rsid w:val="06B1135A"/>
    <w:rsid w:val="06C5707C"/>
    <w:rsid w:val="06C57569"/>
    <w:rsid w:val="06DF5B46"/>
    <w:rsid w:val="076F4486"/>
    <w:rsid w:val="078821A6"/>
    <w:rsid w:val="07C42A17"/>
    <w:rsid w:val="07E3250E"/>
    <w:rsid w:val="081936CD"/>
    <w:rsid w:val="08380F5A"/>
    <w:rsid w:val="083870E1"/>
    <w:rsid w:val="08640725"/>
    <w:rsid w:val="08695342"/>
    <w:rsid w:val="091D296F"/>
    <w:rsid w:val="09637FBF"/>
    <w:rsid w:val="0976726D"/>
    <w:rsid w:val="09895CEF"/>
    <w:rsid w:val="099E1FF4"/>
    <w:rsid w:val="09BE5A6F"/>
    <w:rsid w:val="09FC6CDB"/>
    <w:rsid w:val="0A077EC7"/>
    <w:rsid w:val="0A1D69B3"/>
    <w:rsid w:val="0ADE41BA"/>
    <w:rsid w:val="0AF1711E"/>
    <w:rsid w:val="0B120DE0"/>
    <w:rsid w:val="0B162718"/>
    <w:rsid w:val="0B17686F"/>
    <w:rsid w:val="0B626A74"/>
    <w:rsid w:val="0B914AA6"/>
    <w:rsid w:val="0BA65406"/>
    <w:rsid w:val="0BB16B70"/>
    <w:rsid w:val="0C545AFA"/>
    <w:rsid w:val="0C6330AC"/>
    <w:rsid w:val="0C9B4457"/>
    <w:rsid w:val="0CBB1E07"/>
    <w:rsid w:val="0CC3099D"/>
    <w:rsid w:val="0D092CDA"/>
    <w:rsid w:val="0D1A2B30"/>
    <w:rsid w:val="0D28009A"/>
    <w:rsid w:val="0D355A41"/>
    <w:rsid w:val="0D390764"/>
    <w:rsid w:val="0D393BD5"/>
    <w:rsid w:val="0D831C74"/>
    <w:rsid w:val="0E0D4AE8"/>
    <w:rsid w:val="0E510C1F"/>
    <w:rsid w:val="0E8F72A8"/>
    <w:rsid w:val="0EBE7F02"/>
    <w:rsid w:val="0ECA0B5E"/>
    <w:rsid w:val="0EE60E53"/>
    <w:rsid w:val="0EEB42C5"/>
    <w:rsid w:val="0F097A4F"/>
    <w:rsid w:val="0F2055C3"/>
    <w:rsid w:val="0F80688C"/>
    <w:rsid w:val="0F8342AF"/>
    <w:rsid w:val="10135E17"/>
    <w:rsid w:val="101608A6"/>
    <w:rsid w:val="10A50C52"/>
    <w:rsid w:val="10B12E0F"/>
    <w:rsid w:val="110D3B37"/>
    <w:rsid w:val="1157539C"/>
    <w:rsid w:val="115E40F7"/>
    <w:rsid w:val="117309BF"/>
    <w:rsid w:val="11A36024"/>
    <w:rsid w:val="11E56F29"/>
    <w:rsid w:val="11F65977"/>
    <w:rsid w:val="120F3F7B"/>
    <w:rsid w:val="12163A49"/>
    <w:rsid w:val="12254DDE"/>
    <w:rsid w:val="122A2E3A"/>
    <w:rsid w:val="123B5840"/>
    <w:rsid w:val="1249587D"/>
    <w:rsid w:val="12687DED"/>
    <w:rsid w:val="12A90CE0"/>
    <w:rsid w:val="13314A01"/>
    <w:rsid w:val="1346338E"/>
    <w:rsid w:val="13736A3C"/>
    <w:rsid w:val="14105A3B"/>
    <w:rsid w:val="14C00954"/>
    <w:rsid w:val="14C76699"/>
    <w:rsid w:val="14E459B0"/>
    <w:rsid w:val="154A4E61"/>
    <w:rsid w:val="15E23F4F"/>
    <w:rsid w:val="15FD3317"/>
    <w:rsid w:val="16173F36"/>
    <w:rsid w:val="162003B5"/>
    <w:rsid w:val="165F2149"/>
    <w:rsid w:val="168753B4"/>
    <w:rsid w:val="16D270ED"/>
    <w:rsid w:val="16E2043B"/>
    <w:rsid w:val="170B2B74"/>
    <w:rsid w:val="172F7F2C"/>
    <w:rsid w:val="175B04CD"/>
    <w:rsid w:val="176B4F5A"/>
    <w:rsid w:val="17760DB3"/>
    <w:rsid w:val="178E43B2"/>
    <w:rsid w:val="17DB2874"/>
    <w:rsid w:val="17DC5CFF"/>
    <w:rsid w:val="18280A9D"/>
    <w:rsid w:val="182A043F"/>
    <w:rsid w:val="189111A5"/>
    <w:rsid w:val="1930799C"/>
    <w:rsid w:val="19514263"/>
    <w:rsid w:val="195E53E3"/>
    <w:rsid w:val="195F66D7"/>
    <w:rsid w:val="19C30184"/>
    <w:rsid w:val="19F008E8"/>
    <w:rsid w:val="1A5621F6"/>
    <w:rsid w:val="1A5E3099"/>
    <w:rsid w:val="1AC31B43"/>
    <w:rsid w:val="1AD675BF"/>
    <w:rsid w:val="1B576273"/>
    <w:rsid w:val="1B7821B0"/>
    <w:rsid w:val="1C0A6B49"/>
    <w:rsid w:val="1C6361C4"/>
    <w:rsid w:val="1C6369B8"/>
    <w:rsid w:val="1C932495"/>
    <w:rsid w:val="1C95113E"/>
    <w:rsid w:val="1CA71575"/>
    <w:rsid w:val="1CB16160"/>
    <w:rsid w:val="1CD53522"/>
    <w:rsid w:val="1CE21DB2"/>
    <w:rsid w:val="1D411490"/>
    <w:rsid w:val="1D4F5677"/>
    <w:rsid w:val="1DAE62A2"/>
    <w:rsid w:val="1DE3052F"/>
    <w:rsid w:val="1E534F74"/>
    <w:rsid w:val="1E9A06E2"/>
    <w:rsid w:val="1EBB5D51"/>
    <w:rsid w:val="1EFF2FE7"/>
    <w:rsid w:val="1F4F6E28"/>
    <w:rsid w:val="1F9B0E19"/>
    <w:rsid w:val="1FA037DE"/>
    <w:rsid w:val="1FB42426"/>
    <w:rsid w:val="20334BAB"/>
    <w:rsid w:val="204851B1"/>
    <w:rsid w:val="20766450"/>
    <w:rsid w:val="20A02D6D"/>
    <w:rsid w:val="20E11821"/>
    <w:rsid w:val="2128461D"/>
    <w:rsid w:val="21403167"/>
    <w:rsid w:val="218D5173"/>
    <w:rsid w:val="21996380"/>
    <w:rsid w:val="21A72065"/>
    <w:rsid w:val="21C76871"/>
    <w:rsid w:val="21D96771"/>
    <w:rsid w:val="21E359EB"/>
    <w:rsid w:val="21FC4445"/>
    <w:rsid w:val="22CB177A"/>
    <w:rsid w:val="234C733F"/>
    <w:rsid w:val="2382364E"/>
    <w:rsid w:val="239D56AE"/>
    <w:rsid w:val="23C4405F"/>
    <w:rsid w:val="24316124"/>
    <w:rsid w:val="24540BD5"/>
    <w:rsid w:val="24A67E84"/>
    <w:rsid w:val="25863EAD"/>
    <w:rsid w:val="25B73F1D"/>
    <w:rsid w:val="25CE1E09"/>
    <w:rsid w:val="264D5BCC"/>
    <w:rsid w:val="26AF78F0"/>
    <w:rsid w:val="26BA287B"/>
    <w:rsid w:val="26BA5DB4"/>
    <w:rsid w:val="26F66BDA"/>
    <w:rsid w:val="27644B44"/>
    <w:rsid w:val="276C319E"/>
    <w:rsid w:val="277C2C66"/>
    <w:rsid w:val="27AE4B78"/>
    <w:rsid w:val="27C202E9"/>
    <w:rsid w:val="27C56EB5"/>
    <w:rsid w:val="27C867A0"/>
    <w:rsid w:val="27E560DD"/>
    <w:rsid w:val="27F22AD2"/>
    <w:rsid w:val="27FB4EF0"/>
    <w:rsid w:val="28255A4A"/>
    <w:rsid w:val="28280F74"/>
    <w:rsid w:val="28C0761B"/>
    <w:rsid w:val="294A1F70"/>
    <w:rsid w:val="298F4400"/>
    <w:rsid w:val="29910938"/>
    <w:rsid w:val="29EF38E3"/>
    <w:rsid w:val="2A3D257B"/>
    <w:rsid w:val="2A4022A9"/>
    <w:rsid w:val="2A60487E"/>
    <w:rsid w:val="2AA44913"/>
    <w:rsid w:val="2AD45F19"/>
    <w:rsid w:val="2AEE71BB"/>
    <w:rsid w:val="2AF24F9D"/>
    <w:rsid w:val="2B110078"/>
    <w:rsid w:val="2B1C7427"/>
    <w:rsid w:val="2B425CF1"/>
    <w:rsid w:val="2B562C63"/>
    <w:rsid w:val="2B695623"/>
    <w:rsid w:val="2B743A62"/>
    <w:rsid w:val="2B8322E9"/>
    <w:rsid w:val="2BA40ABC"/>
    <w:rsid w:val="2BEB722D"/>
    <w:rsid w:val="2C1771DD"/>
    <w:rsid w:val="2C3E1419"/>
    <w:rsid w:val="2C69096C"/>
    <w:rsid w:val="2C7C5373"/>
    <w:rsid w:val="2C88275B"/>
    <w:rsid w:val="2D2150E0"/>
    <w:rsid w:val="2D4A6888"/>
    <w:rsid w:val="2D7D3BE1"/>
    <w:rsid w:val="2D965BA0"/>
    <w:rsid w:val="2DA16968"/>
    <w:rsid w:val="2DFE3F51"/>
    <w:rsid w:val="2E05794F"/>
    <w:rsid w:val="2E0D10F5"/>
    <w:rsid w:val="2E180240"/>
    <w:rsid w:val="2E1D5930"/>
    <w:rsid w:val="2E264FC9"/>
    <w:rsid w:val="2E8F49DE"/>
    <w:rsid w:val="2ED25D6F"/>
    <w:rsid w:val="2F23148F"/>
    <w:rsid w:val="2F242D44"/>
    <w:rsid w:val="2F530787"/>
    <w:rsid w:val="2F930D27"/>
    <w:rsid w:val="301F6EA8"/>
    <w:rsid w:val="3050633A"/>
    <w:rsid w:val="305116EA"/>
    <w:rsid w:val="30A1426D"/>
    <w:rsid w:val="30B02435"/>
    <w:rsid w:val="30B12F80"/>
    <w:rsid w:val="30BB3504"/>
    <w:rsid w:val="313C3DCA"/>
    <w:rsid w:val="316D53FF"/>
    <w:rsid w:val="317D7675"/>
    <w:rsid w:val="319655E2"/>
    <w:rsid w:val="31EC4D9F"/>
    <w:rsid w:val="32427AEE"/>
    <w:rsid w:val="3272744B"/>
    <w:rsid w:val="327C6CD1"/>
    <w:rsid w:val="329D3A6E"/>
    <w:rsid w:val="32A77885"/>
    <w:rsid w:val="32CF3ED1"/>
    <w:rsid w:val="32D1433C"/>
    <w:rsid w:val="32DC2556"/>
    <w:rsid w:val="32EA1E40"/>
    <w:rsid w:val="334162F7"/>
    <w:rsid w:val="33531B1D"/>
    <w:rsid w:val="340C4947"/>
    <w:rsid w:val="340C65C2"/>
    <w:rsid w:val="342437E6"/>
    <w:rsid w:val="343E6AA4"/>
    <w:rsid w:val="34A271D1"/>
    <w:rsid w:val="34C65A8F"/>
    <w:rsid w:val="34CE22E5"/>
    <w:rsid w:val="358A625A"/>
    <w:rsid w:val="35AC2C79"/>
    <w:rsid w:val="36395AAE"/>
    <w:rsid w:val="3648260D"/>
    <w:rsid w:val="364E78AB"/>
    <w:rsid w:val="36B94826"/>
    <w:rsid w:val="36BE573E"/>
    <w:rsid w:val="36FE3C5C"/>
    <w:rsid w:val="37033A84"/>
    <w:rsid w:val="377D79E0"/>
    <w:rsid w:val="378D0E24"/>
    <w:rsid w:val="37C9025A"/>
    <w:rsid w:val="38053895"/>
    <w:rsid w:val="383D533F"/>
    <w:rsid w:val="38487408"/>
    <w:rsid w:val="38715E37"/>
    <w:rsid w:val="38C54046"/>
    <w:rsid w:val="39001543"/>
    <w:rsid w:val="39274650"/>
    <w:rsid w:val="39931D9D"/>
    <w:rsid w:val="39E60252"/>
    <w:rsid w:val="3A127D87"/>
    <w:rsid w:val="3A4A5250"/>
    <w:rsid w:val="3A8B728F"/>
    <w:rsid w:val="3AA031FD"/>
    <w:rsid w:val="3AA44578"/>
    <w:rsid w:val="3AC977C4"/>
    <w:rsid w:val="3AF24A0C"/>
    <w:rsid w:val="3B164251"/>
    <w:rsid w:val="3B710103"/>
    <w:rsid w:val="3B8E4E69"/>
    <w:rsid w:val="3BC226AF"/>
    <w:rsid w:val="3BF85868"/>
    <w:rsid w:val="3C180DAA"/>
    <w:rsid w:val="3C4108DB"/>
    <w:rsid w:val="3C671156"/>
    <w:rsid w:val="3C682519"/>
    <w:rsid w:val="3C83096C"/>
    <w:rsid w:val="3CF20077"/>
    <w:rsid w:val="3D0A2E83"/>
    <w:rsid w:val="3D52799C"/>
    <w:rsid w:val="3D564251"/>
    <w:rsid w:val="3D600071"/>
    <w:rsid w:val="3D8A2621"/>
    <w:rsid w:val="3DA4136B"/>
    <w:rsid w:val="3DCD3A5E"/>
    <w:rsid w:val="3E010D03"/>
    <w:rsid w:val="3E144E11"/>
    <w:rsid w:val="3E1D2C85"/>
    <w:rsid w:val="3E66345E"/>
    <w:rsid w:val="3EAB5FC8"/>
    <w:rsid w:val="3F226FEF"/>
    <w:rsid w:val="3F2C0D77"/>
    <w:rsid w:val="3F4E6EE1"/>
    <w:rsid w:val="40077A51"/>
    <w:rsid w:val="40127D7A"/>
    <w:rsid w:val="403371CB"/>
    <w:rsid w:val="40A37025"/>
    <w:rsid w:val="40BE0934"/>
    <w:rsid w:val="40FC03E0"/>
    <w:rsid w:val="41047A0E"/>
    <w:rsid w:val="4120293C"/>
    <w:rsid w:val="416370EA"/>
    <w:rsid w:val="419D1F40"/>
    <w:rsid w:val="41B54482"/>
    <w:rsid w:val="41BA303E"/>
    <w:rsid w:val="41DB508A"/>
    <w:rsid w:val="41FA07BB"/>
    <w:rsid w:val="426A5195"/>
    <w:rsid w:val="42A212EF"/>
    <w:rsid w:val="42A726C9"/>
    <w:rsid w:val="433C7EE0"/>
    <w:rsid w:val="439841CE"/>
    <w:rsid w:val="43CB0DD5"/>
    <w:rsid w:val="43FA07FB"/>
    <w:rsid w:val="44021768"/>
    <w:rsid w:val="4420699C"/>
    <w:rsid w:val="445B5B8F"/>
    <w:rsid w:val="44614DA0"/>
    <w:rsid w:val="44E00D9A"/>
    <w:rsid w:val="44F37086"/>
    <w:rsid w:val="451412BC"/>
    <w:rsid w:val="45307078"/>
    <w:rsid w:val="457C4D06"/>
    <w:rsid w:val="457E1BD7"/>
    <w:rsid w:val="45817EEA"/>
    <w:rsid w:val="45E42F12"/>
    <w:rsid w:val="460B26AC"/>
    <w:rsid w:val="461573D5"/>
    <w:rsid w:val="462742F0"/>
    <w:rsid w:val="4656286A"/>
    <w:rsid w:val="466401E2"/>
    <w:rsid w:val="467559AB"/>
    <w:rsid w:val="468B44AC"/>
    <w:rsid w:val="46C871A2"/>
    <w:rsid w:val="472D01C5"/>
    <w:rsid w:val="47BD07F8"/>
    <w:rsid w:val="480B2082"/>
    <w:rsid w:val="48213AD9"/>
    <w:rsid w:val="483D5712"/>
    <w:rsid w:val="48866894"/>
    <w:rsid w:val="48A71977"/>
    <w:rsid w:val="48B91B02"/>
    <w:rsid w:val="48D1657A"/>
    <w:rsid w:val="48E41C0B"/>
    <w:rsid w:val="49236DAA"/>
    <w:rsid w:val="49657623"/>
    <w:rsid w:val="4A2B49F7"/>
    <w:rsid w:val="4A782185"/>
    <w:rsid w:val="4ABD1B25"/>
    <w:rsid w:val="4ACB28AC"/>
    <w:rsid w:val="4ACF4D4C"/>
    <w:rsid w:val="4B0741D4"/>
    <w:rsid w:val="4B6010CA"/>
    <w:rsid w:val="4B715452"/>
    <w:rsid w:val="4BDB41B6"/>
    <w:rsid w:val="4C2C68AA"/>
    <w:rsid w:val="4C2F1C49"/>
    <w:rsid w:val="4C3318EF"/>
    <w:rsid w:val="4C44059F"/>
    <w:rsid w:val="4C6F4FCC"/>
    <w:rsid w:val="4C783179"/>
    <w:rsid w:val="4CDF61B2"/>
    <w:rsid w:val="4CF742AD"/>
    <w:rsid w:val="4D062192"/>
    <w:rsid w:val="4D5948E3"/>
    <w:rsid w:val="4D720890"/>
    <w:rsid w:val="4D8636CE"/>
    <w:rsid w:val="4DB1267E"/>
    <w:rsid w:val="4E0905B5"/>
    <w:rsid w:val="4E15043E"/>
    <w:rsid w:val="4E33091A"/>
    <w:rsid w:val="4E4453A7"/>
    <w:rsid w:val="4E9C1CEC"/>
    <w:rsid w:val="4EAE548E"/>
    <w:rsid w:val="4EB0493A"/>
    <w:rsid w:val="4F236BF5"/>
    <w:rsid w:val="4F475C97"/>
    <w:rsid w:val="4F8F62CA"/>
    <w:rsid w:val="4F955ECE"/>
    <w:rsid w:val="4FC416E3"/>
    <w:rsid w:val="500F4ACE"/>
    <w:rsid w:val="5011756F"/>
    <w:rsid w:val="504A1533"/>
    <w:rsid w:val="50505BD6"/>
    <w:rsid w:val="50897179"/>
    <w:rsid w:val="508F3200"/>
    <w:rsid w:val="50A8166E"/>
    <w:rsid w:val="51025949"/>
    <w:rsid w:val="511F54C7"/>
    <w:rsid w:val="51273E90"/>
    <w:rsid w:val="514570E8"/>
    <w:rsid w:val="519E52D4"/>
    <w:rsid w:val="51B55515"/>
    <w:rsid w:val="52A80066"/>
    <w:rsid w:val="53311A13"/>
    <w:rsid w:val="537121A9"/>
    <w:rsid w:val="537553D8"/>
    <w:rsid w:val="538D54F1"/>
    <w:rsid w:val="53923CBB"/>
    <w:rsid w:val="53A23AED"/>
    <w:rsid w:val="53C07FD5"/>
    <w:rsid w:val="53C470F2"/>
    <w:rsid w:val="53D31A71"/>
    <w:rsid w:val="53EF5EEB"/>
    <w:rsid w:val="541D1021"/>
    <w:rsid w:val="543B60F3"/>
    <w:rsid w:val="545F0F67"/>
    <w:rsid w:val="546E6BD1"/>
    <w:rsid w:val="54807219"/>
    <w:rsid w:val="54CF0661"/>
    <w:rsid w:val="54D07E1A"/>
    <w:rsid w:val="5500148F"/>
    <w:rsid w:val="55030733"/>
    <w:rsid w:val="551C3D30"/>
    <w:rsid w:val="5521067A"/>
    <w:rsid w:val="552B78B2"/>
    <w:rsid w:val="552D4323"/>
    <w:rsid w:val="555E168F"/>
    <w:rsid w:val="55795BD0"/>
    <w:rsid w:val="5598654B"/>
    <w:rsid w:val="55994E65"/>
    <w:rsid w:val="55AF32B8"/>
    <w:rsid w:val="562C5D64"/>
    <w:rsid w:val="567010AD"/>
    <w:rsid w:val="56CC139E"/>
    <w:rsid w:val="5782478E"/>
    <w:rsid w:val="57CF126D"/>
    <w:rsid w:val="583632FA"/>
    <w:rsid w:val="5881177D"/>
    <w:rsid w:val="588B756C"/>
    <w:rsid w:val="58A97CEE"/>
    <w:rsid w:val="58E303FF"/>
    <w:rsid w:val="58E33236"/>
    <w:rsid w:val="59391C4B"/>
    <w:rsid w:val="596636E7"/>
    <w:rsid w:val="59B0496F"/>
    <w:rsid w:val="59C552AC"/>
    <w:rsid w:val="59DE770B"/>
    <w:rsid w:val="59E71CD6"/>
    <w:rsid w:val="59F82765"/>
    <w:rsid w:val="5A211AAB"/>
    <w:rsid w:val="5A8D3867"/>
    <w:rsid w:val="5AD30828"/>
    <w:rsid w:val="5B5439BC"/>
    <w:rsid w:val="5B897B52"/>
    <w:rsid w:val="5B8B0B0E"/>
    <w:rsid w:val="5BAA5042"/>
    <w:rsid w:val="5BC950E4"/>
    <w:rsid w:val="5C367A1A"/>
    <w:rsid w:val="5CA83A70"/>
    <w:rsid w:val="5CF232BB"/>
    <w:rsid w:val="5CF81D1B"/>
    <w:rsid w:val="5D217362"/>
    <w:rsid w:val="5D5F2B7B"/>
    <w:rsid w:val="5D7B5F30"/>
    <w:rsid w:val="5DB31A65"/>
    <w:rsid w:val="5E552421"/>
    <w:rsid w:val="5ED4298B"/>
    <w:rsid w:val="5F30263B"/>
    <w:rsid w:val="5F734ADC"/>
    <w:rsid w:val="5FB724B1"/>
    <w:rsid w:val="5FC30C65"/>
    <w:rsid w:val="609A2226"/>
    <w:rsid w:val="60E72428"/>
    <w:rsid w:val="619D3AB1"/>
    <w:rsid w:val="61A97E13"/>
    <w:rsid w:val="61AA2A63"/>
    <w:rsid w:val="62211E2F"/>
    <w:rsid w:val="627A4DF7"/>
    <w:rsid w:val="627F68C6"/>
    <w:rsid w:val="62B07810"/>
    <w:rsid w:val="62B247B6"/>
    <w:rsid w:val="62B455EA"/>
    <w:rsid w:val="62FC1F7F"/>
    <w:rsid w:val="633D214A"/>
    <w:rsid w:val="63802CBB"/>
    <w:rsid w:val="63931C11"/>
    <w:rsid w:val="64295EB1"/>
    <w:rsid w:val="642F75DB"/>
    <w:rsid w:val="64527957"/>
    <w:rsid w:val="64542877"/>
    <w:rsid w:val="64CD2ED1"/>
    <w:rsid w:val="6562220A"/>
    <w:rsid w:val="658D16A3"/>
    <w:rsid w:val="6607635B"/>
    <w:rsid w:val="665C1B88"/>
    <w:rsid w:val="66647581"/>
    <w:rsid w:val="66763F05"/>
    <w:rsid w:val="66805757"/>
    <w:rsid w:val="66A755D2"/>
    <w:rsid w:val="66FE5D89"/>
    <w:rsid w:val="670675D0"/>
    <w:rsid w:val="67163972"/>
    <w:rsid w:val="6786718F"/>
    <w:rsid w:val="678B62CD"/>
    <w:rsid w:val="67C3662A"/>
    <w:rsid w:val="67FE5A73"/>
    <w:rsid w:val="69091B5F"/>
    <w:rsid w:val="697935BA"/>
    <w:rsid w:val="697C7381"/>
    <w:rsid w:val="69A26F48"/>
    <w:rsid w:val="69B45242"/>
    <w:rsid w:val="69DC17F8"/>
    <w:rsid w:val="69E2264C"/>
    <w:rsid w:val="69F64585"/>
    <w:rsid w:val="6A725133"/>
    <w:rsid w:val="6A8A156B"/>
    <w:rsid w:val="6A8D7505"/>
    <w:rsid w:val="6AE1433D"/>
    <w:rsid w:val="6AEA5D98"/>
    <w:rsid w:val="6B240807"/>
    <w:rsid w:val="6B2424B6"/>
    <w:rsid w:val="6B482130"/>
    <w:rsid w:val="6B880ADA"/>
    <w:rsid w:val="6BE628B5"/>
    <w:rsid w:val="6C2B06B7"/>
    <w:rsid w:val="6C461CB4"/>
    <w:rsid w:val="6CE03956"/>
    <w:rsid w:val="6CE71049"/>
    <w:rsid w:val="6CFD550C"/>
    <w:rsid w:val="6D5D031E"/>
    <w:rsid w:val="6DE94C60"/>
    <w:rsid w:val="6DF714F8"/>
    <w:rsid w:val="6DF726D6"/>
    <w:rsid w:val="6E3A4605"/>
    <w:rsid w:val="6E5C4D03"/>
    <w:rsid w:val="6E6F270E"/>
    <w:rsid w:val="6E750EF1"/>
    <w:rsid w:val="6E760045"/>
    <w:rsid w:val="6E8D6E04"/>
    <w:rsid w:val="6F0646B9"/>
    <w:rsid w:val="6F1C7DFB"/>
    <w:rsid w:val="6F25402C"/>
    <w:rsid w:val="6F311F0D"/>
    <w:rsid w:val="6F7126BE"/>
    <w:rsid w:val="6F7C7BA6"/>
    <w:rsid w:val="6F840D73"/>
    <w:rsid w:val="7010226B"/>
    <w:rsid w:val="70184DC3"/>
    <w:rsid w:val="706C00DC"/>
    <w:rsid w:val="707E7F0B"/>
    <w:rsid w:val="70DC39F2"/>
    <w:rsid w:val="71023ED8"/>
    <w:rsid w:val="71205C18"/>
    <w:rsid w:val="714327BE"/>
    <w:rsid w:val="718D49EB"/>
    <w:rsid w:val="719B4A5D"/>
    <w:rsid w:val="71BA3EB0"/>
    <w:rsid w:val="71C60A6D"/>
    <w:rsid w:val="71D76665"/>
    <w:rsid w:val="71DD61CF"/>
    <w:rsid w:val="71E65BAD"/>
    <w:rsid w:val="72573567"/>
    <w:rsid w:val="72750AC9"/>
    <w:rsid w:val="7385748E"/>
    <w:rsid w:val="73CB79EA"/>
    <w:rsid w:val="73CF26E6"/>
    <w:rsid w:val="73F127B4"/>
    <w:rsid w:val="741B1B68"/>
    <w:rsid w:val="741F4202"/>
    <w:rsid w:val="74221708"/>
    <w:rsid w:val="742C0A35"/>
    <w:rsid w:val="74494630"/>
    <w:rsid w:val="749D056D"/>
    <w:rsid w:val="74B2712B"/>
    <w:rsid w:val="74B3074C"/>
    <w:rsid w:val="74DA4BF4"/>
    <w:rsid w:val="75031167"/>
    <w:rsid w:val="75205B58"/>
    <w:rsid w:val="752D1692"/>
    <w:rsid w:val="75DD5A29"/>
    <w:rsid w:val="75F050CF"/>
    <w:rsid w:val="762621FC"/>
    <w:rsid w:val="76430196"/>
    <w:rsid w:val="76EB7863"/>
    <w:rsid w:val="77043E49"/>
    <w:rsid w:val="7736649A"/>
    <w:rsid w:val="779277B3"/>
    <w:rsid w:val="779611FD"/>
    <w:rsid w:val="77E41FA7"/>
    <w:rsid w:val="77FC62C2"/>
    <w:rsid w:val="78107C1E"/>
    <w:rsid w:val="78131AA7"/>
    <w:rsid w:val="781D0291"/>
    <w:rsid w:val="7838012A"/>
    <w:rsid w:val="784561F2"/>
    <w:rsid w:val="789C6F24"/>
    <w:rsid w:val="78ED004F"/>
    <w:rsid w:val="791C255D"/>
    <w:rsid w:val="794657F3"/>
    <w:rsid w:val="797700C9"/>
    <w:rsid w:val="79954FF2"/>
    <w:rsid w:val="79A12A5A"/>
    <w:rsid w:val="79A43633"/>
    <w:rsid w:val="79E01E8F"/>
    <w:rsid w:val="79F01816"/>
    <w:rsid w:val="7A1D62B1"/>
    <w:rsid w:val="7A427E9A"/>
    <w:rsid w:val="7A7A0D8D"/>
    <w:rsid w:val="7A8F5F61"/>
    <w:rsid w:val="7AA642AA"/>
    <w:rsid w:val="7AE31C0A"/>
    <w:rsid w:val="7AED2635"/>
    <w:rsid w:val="7B594805"/>
    <w:rsid w:val="7B5D5A5E"/>
    <w:rsid w:val="7B7664CE"/>
    <w:rsid w:val="7B816B66"/>
    <w:rsid w:val="7B8172DC"/>
    <w:rsid w:val="7B950266"/>
    <w:rsid w:val="7C224074"/>
    <w:rsid w:val="7C726F1D"/>
    <w:rsid w:val="7C8F4863"/>
    <w:rsid w:val="7CA902F1"/>
    <w:rsid w:val="7D5C7D55"/>
    <w:rsid w:val="7D9779E4"/>
    <w:rsid w:val="7DFB66E0"/>
    <w:rsid w:val="7E401E95"/>
    <w:rsid w:val="7E5B3460"/>
    <w:rsid w:val="7E5D2F0B"/>
    <w:rsid w:val="7E8830B1"/>
    <w:rsid w:val="7EB312CF"/>
    <w:rsid w:val="7F43442C"/>
    <w:rsid w:val="7F7F0067"/>
    <w:rsid w:val="7F9910D3"/>
    <w:rsid w:val="7FCD52A1"/>
    <w:rsid w:val="7FE320BC"/>
    <w:rsid w:val="7FEA4125"/>
    <w:rsid w:val="7FFB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rPr>
  </w:style>
  <w:style w:type="paragraph" w:styleId="4">
    <w:name w:val="annotation text"/>
    <w:basedOn w:val="1"/>
    <w:link w:val="18"/>
    <w:qFormat/>
    <w:uiPriority w:val="0"/>
    <w:pPr>
      <w:jc w:val="left"/>
    </w:pPr>
  </w:style>
  <w:style w:type="paragraph" w:styleId="5">
    <w:name w:val="Plain Text"/>
    <w:basedOn w:val="1"/>
    <w:qFormat/>
    <w:uiPriority w:val="99"/>
    <w:rPr>
      <w:rFonts w:ascii="宋体" w:hAnsi="Courier New"/>
      <w:sz w:val="21"/>
    </w:rPr>
  </w:style>
  <w:style w:type="paragraph" w:styleId="6">
    <w:name w:val="Balloon Text"/>
    <w:basedOn w:val="1"/>
    <w:link w:val="20"/>
    <w:qFormat/>
    <w:uiPriority w:val="0"/>
    <w:rPr>
      <w:sz w:val="18"/>
      <w:szCs w:val="18"/>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basedOn w:val="12"/>
    <w:qFormat/>
    <w:uiPriority w:val="0"/>
    <w:rPr>
      <w:sz w:val="21"/>
      <w:szCs w:val="21"/>
    </w:rPr>
  </w:style>
  <w:style w:type="paragraph" w:customStyle="1" w:styleId="16">
    <w:name w:val="纯文本2"/>
    <w:basedOn w:val="1"/>
    <w:qFormat/>
    <w:uiPriority w:val="0"/>
    <w:rPr>
      <w:rFonts w:ascii="宋体" w:hAnsi="Courier New" w:eastAsia="宋体"/>
      <w:sz w:val="21"/>
      <w:szCs w:val="21"/>
    </w:rPr>
  </w:style>
  <w:style w:type="paragraph" w:customStyle="1" w:styleId="17">
    <w:name w:val="列出段落1"/>
    <w:basedOn w:val="1"/>
    <w:unhideWhenUsed/>
    <w:qFormat/>
    <w:uiPriority w:val="99"/>
    <w:pPr>
      <w:ind w:firstLine="420" w:firstLineChars="200"/>
    </w:pPr>
  </w:style>
  <w:style w:type="character" w:customStyle="1" w:styleId="18">
    <w:name w:val="批注文字 Char"/>
    <w:basedOn w:val="12"/>
    <w:link w:val="4"/>
    <w:qFormat/>
    <w:uiPriority w:val="0"/>
    <w:rPr>
      <w:rFonts w:eastAsia="仿宋_GB2312"/>
      <w:kern w:val="2"/>
      <w:sz w:val="32"/>
    </w:rPr>
  </w:style>
  <w:style w:type="character" w:customStyle="1" w:styleId="19">
    <w:name w:val="批注主题 Char"/>
    <w:basedOn w:val="18"/>
    <w:link w:val="9"/>
    <w:qFormat/>
    <w:uiPriority w:val="0"/>
    <w:rPr>
      <w:rFonts w:eastAsia="仿宋_GB2312"/>
      <w:b/>
      <w:bCs/>
      <w:kern w:val="2"/>
      <w:sz w:val="32"/>
    </w:rPr>
  </w:style>
  <w:style w:type="character" w:customStyle="1" w:styleId="20">
    <w:name w:val="批注框文本 Char"/>
    <w:basedOn w:val="12"/>
    <w:link w:val="6"/>
    <w:qFormat/>
    <w:uiPriority w:val="0"/>
    <w:rPr>
      <w:rFonts w:eastAsia="仿宋_GB2312"/>
      <w:kern w:val="2"/>
      <w:sz w:val="18"/>
      <w:szCs w:val="18"/>
    </w:rPr>
  </w:style>
  <w:style w:type="paragraph" w:customStyle="1" w:styleId="21">
    <w:name w:val="纯文本1"/>
    <w:basedOn w:val="1"/>
    <w:qFormat/>
    <w:uiPriority w:val="99"/>
    <w:rPr>
      <w:rFonts w:ascii="宋体" w:hAnsi="Courier New" w:eastAsiaTheme="minorEastAsia" w:cstheme="minorBidi"/>
      <w:sz w:val="21"/>
    </w:rPr>
  </w:style>
  <w:style w:type="character" w:customStyle="1" w:styleId="22">
    <w:name w:val="页码1"/>
    <w:basedOn w:val="12"/>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1135</Words>
  <Characters>6472</Characters>
  <Lines>53</Lines>
  <Paragraphs>15</Paragraphs>
  <TotalTime>9</TotalTime>
  <ScaleCrop>false</ScaleCrop>
  <LinksUpToDate>false</LinksUpToDate>
  <CharactersWithSpaces>7592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2020-12-11T14:56:00Z</dcterms:created>
  <dc:creator>橙子</dc:creator>
  <cp:lastModifiedBy>kiilto</cp:lastModifiedBy>
  <dcterms:modified xsi:type="dcterms:W3CDTF">2021-08-24T14:38:53Z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