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b/>
          <w:bCs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95250</wp:posOffset>
            </wp:positionV>
            <wp:extent cx="2160270" cy="2913380"/>
            <wp:effectExtent l="0" t="0" r="1143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迈向碳中和之企业温室气体排放核算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概要：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气候变化给人类社会带来了现实、严峻又长远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挑战，应对气候变化是中国企业实现高质量发展的应有之义。2023年6月，国际可持续准则理事会（ISSB）正式颁布了两项可持续披露准则，标志着可持续发展信息披露迈入准则新时代。披露温室气体排放数据及风险是企业ESG报告的重要内容，如何结合国家双碳战略以及自身碳数据制定企业双碳目标、规划实施减排路径，以落实巴黎协定和联合国可持续发展目标，对企业的可持续发展具有重要意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分享人介绍：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欣欣女士，现任RSM容诚咨询服务总监，是容诚中国可持续发展团队负责人。在过去的专业服务中，许女士为国贸控股集团、厦门国贸、建发股份、厦门钨业、厦钨新能、腾远钴业、南方路机、国贸地产、信达股份等企业提供了可持续发展服务，并协助企业持续开展ESG建设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ZDNjYjk0OTQyZmEzNGRmZWY4MzZlZGQzNTFjYTIifQ=="/>
  </w:docVars>
  <w:rsids>
    <w:rsidRoot w:val="00532289"/>
    <w:rsid w:val="00080597"/>
    <w:rsid w:val="002F55DA"/>
    <w:rsid w:val="00356114"/>
    <w:rsid w:val="003A4BE2"/>
    <w:rsid w:val="003D3FB7"/>
    <w:rsid w:val="00435F97"/>
    <w:rsid w:val="004C13A5"/>
    <w:rsid w:val="00532289"/>
    <w:rsid w:val="00614EAB"/>
    <w:rsid w:val="00622CD1"/>
    <w:rsid w:val="0064457B"/>
    <w:rsid w:val="008424F2"/>
    <w:rsid w:val="009030B2"/>
    <w:rsid w:val="009935C8"/>
    <w:rsid w:val="00BA74D1"/>
    <w:rsid w:val="00BF1AD2"/>
    <w:rsid w:val="00EA2EAC"/>
    <w:rsid w:val="00ED230A"/>
    <w:rsid w:val="00F34209"/>
    <w:rsid w:val="4C6E5771"/>
    <w:rsid w:val="4DD96308"/>
    <w:rsid w:val="526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2023-10-16T02:12:00Z</dcterms:created>
  <dc:creator>Kinsey Xu</dc:creator>
  <cp:lastModifiedBy>嘉乐恒-家家</cp:lastModifiedBy>
  <dcterms:modified xsi:type="dcterms:W3CDTF">2023-10-20T01:42:59Z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23293A6B961D478596F40A0099C61A8B_12</vt:lpwstr>
  </property>
</Properties>
</file>