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个税参考模版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注册会计师个人登录：</w:t>
      </w:r>
      <w:r>
        <w:fldChar w:fldCharType="begin"/>
      </w:r>
      <w:r>
        <w:instrText xml:space="preserve"> HYPERLINK "https://etax.chinatax.gov.cn/" </w:instrText>
      </w:r>
      <w:r>
        <w:fldChar w:fldCharType="separate"/>
      </w:r>
      <w:r>
        <w:rPr>
          <w:rStyle w:val="4"/>
          <w:rFonts w:ascii="仿宋" w:hAnsi="仿宋" w:eastAsia="仿宋"/>
          <w:sz w:val="30"/>
          <w:szCs w:val="30"/>
        </w:rPr>
        <w:t>https://etax.chinatax.gov.cn/</w:t>
      </w:r>
      <w:r>
        <w:rPr>
          <w:rStyle w:val="4"/>
          <w:rFonts w:ascii="仿宋" w:hAnsi="仿宋" w:eastAsia="仿宋"/>
          <w:sz w:val="30"/>
          <w:szCs w:val="30"/>
        </w:rPr>
        <w:fldChar w:fldCharType="end"/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点击特色应用</w:t>
      </w:r>
      <w:r>
        <w:rPr>
          <w:rFonts w:ascii="仿宋" w:hAnsi="仿宋" w:eastAsia="仿宋"/>
          <w:sz w:val="30"/>
          <w:szCs w:val="30"/>
        </w:rPr>
        <w:t>---纳税记录开具及纳税清单打印（深圳）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536190" cy="1282700"/>
            <wp:effectExtent l="0" t="0" r="1651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622" cy="128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477770" cy="1308100"/>
            <wp:effectExtent l="0" t="0" r="177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8582" cy="131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0"/>
          <w:szCs w:val="30"/>
        </w:rPr>
      </w:pPr>
    </w:p>
    <w:p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640965" cy="1320800"/>
            <wp:effectExtent l="0" t="0" r="698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431" cy="132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387600" cy="1431290"/>
            <wp:effectExtent l="0" t="0" r="1270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239" cy="143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NGM2YTM0MWYwYzYyNGMzNzhiNjI1NzA1ZDA3NGMifQ=="/>
  </w:docVars>
  <w:rsids>
    <w:rsidRoot w:val="20E569AB"/>
    <w:rsid w:val="17CD1BEC"/>
    <w:rsid w:val="1FE65AB4"/>
    <w:rsid w:val="20E569AB"/>
    <w:rsid w:val="4ADB4A65"/>
    <w:rsid w:val="6EB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2024-04-10T08:23:00Z</dcterms:created>
  <dc:creator>叶武景</dc:creator>
  <cp:lastModifiedBy>叶武景</cp:lastModifiedBy>
  <dcterms:modified xsi:type="dcterms:W3CDTF">2024-04-10T08:24:19Z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BB2CD419818B4151BF329FB78A6B1750_11</vt:lpwstr>
  </property>
</Properties>
</file>