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6B8C">
      <w:pPr>
        <w:pStyle w:val="48"/>
        <w:rPr>
          <w:rFonts w:ascii="FZYouH_503L" w:hAnsi="FZYouH_503L" w:eastAsia="FZYouH_503L"/>
          <w:lang w:eastAsia="zh-TW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-927735</wp:posOffset>
            </wp:positionV>
            <wp:extent cx="1438275" cy="1438275"/>
            <wp:effectExtent l="0" t="0" r="9525" b="9525"/>
            <wp:wrapTight wrapText="bothSides">
              <wp:wrapPolygon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ZYouH_503L" w:hAnsi="FZYouH_503L" w:eastAsia="FZYouH_503L"/>
          <w:lang w:eastAsia="zh-CN"/>
        </w:rPr>
        <w:t>潘宏烽</w:t>
      </w:r>
    </w:p>
    <w:p w14:paraId="51CB437D">
      <w:pPr>
        <w:pStyle w:val="24"/>
        <w:rPr>
          <w:rFonts w:ascii="Microsoft JhengHei" w:hAnsi="Microsoft JhengHei" w:eastAsia="Microsoft JhengHei"/>
          <w:lang w:eastAsia="zh-CN"/>
        </w:rPr>
      </w:pPr>
      <w:r>
        <w:rPr>
          <w:rFonts w:ascii="Microsoft JhengHei" w:hAnsi="Microsoft JhengHei" w:eastAsia="Microsoft JhengHei"/>
          <w:lang w:eastAsia="zh-CN"/>
        </w:rPr>
        <w:t>HKICPA, CICPA (non-practising)</w:t>
      </w:r>
      <w:r>
        <w:rPr>
          <w:rFonts w:ascii="Microsoft JhengHei" w:hAnsi="Microsoft JhengHei" w:eastAsia="Microsoft JhengHei"/>
          <w:lang w:val="en-US" w:eastAsia="zh-CN"/>
        </w:rPr>
        <w:t xml:space="preserve">, </w:t>
      </w:r>
      <w:r>
        <w:rPr>
          <w:rFonts w:ascii="Microsoft JhengHei" w:hAnsi="Microsoft JhengHei" w:eastAsia="Microsoft JhengHei"/>
          <w:lang w:eastAsia="zh-CN"/>
        </w:rPr>
        <w:t xml:space="preserve">Public Valuer (non-practising), PRM, </w:t>
      </w:r>
    </w:p>
    <w:p w14:paraId="40698BBE">
      <w:pPr>
        <w:pStyle w:val="24"/>
        <w:rPr>
          <w:rFonts w:ascii="Microsoft JhengHei" w:hAnsi="Microsoft JhengHei" w:eastAsia="Microsoft JhengHei"/>
          <w:lang w:val="en-US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985" w:right="737" w:bottom="1134" w:left="2608" w:header="709" w:footer="567" w:gutter="0"/>
          <w:cols w:space="708" w:num="1"/>
          <w:titlePg/>
          <w:docGrid w:linePitch="360" w:charSpace="0"/>
        </w:sectPr>
      </w:pPr>
      <w:r>
        <w:rPr>
          <w:rFonts w:ascii="Microsoft JhengHei" w:hAnsi="Microsoft JhengHei" w:eastAsia="Microsoft JhengHei"/>
          <w:lang w:eastAsia="zh-CN"/>
        </w:rPr>
        <w:t xml:space="preserve">FSA Credential, CESGA </w:t>
      </w:r>
      <w:r>
        <w:rPr>
          <w:rFonts w:ascii="Microsoft JhengHei" w:hAnsi="Microsoft JhengHei" w:eastAsia="Microsoft JhengHei"/>
          <w:lang w:eastAsia="zh-CN"/>
        </w:rPr>
        <w:tab/>
      </w:r>
    </w:p>
    <w:p w14:paraId="08E4E350">
      <w:pPr>
        <w:pStyle w:val="3"/>
        <w:rPr>
          <w:rFonts w:ascii="Microsoft JhengHei" w:hAnsi="Microsoft JhengHei" w:eastAsia="Microsoft JhengHei"/>
          <w:lang w:eastAsia="zh-TW"/>
        </w:rPr>
      </w:pPr>
    </w:p>
    <w:p w14:paraId="54B8C9B1">
      <w:pPr>
        <w:pStyle w:val="3"/>
        <w:rPr>
          <w:rFonts w:ascii="Microsoft JhengHei" w:hAnsi="Microsoft JhengHei" w:eastAsia="Microsoft JhengHei"/>
          <w:lang w:eastAsia="zh-TW"/>
        </w:rPr>
      </w:pPr>
    </w:p>
    <w:p w14:paraId="53D72B66">
      <w:pPr>
        <w:pStyle w:val="3"/>
        <w:rPr>
          <w:rFonts w:ascii="Microsoft JhengHei" w:hAnsi="Microsoft JhengHei" w:eastAsia="Microsoft JhengHei"/>
          <w:lang w:eastAsia="zh-TW"/>
        </w:rPr>
      </w:pPr>
    </w:p>
    <w:p w14:paraId="0B271B53">
      <w:pPr>
        <w:pStyle w:val="3"/>
        <w:rPr>
          <w:rFonts w:ascii="Microsoft JhengHei" w:hAnsi="Microsoft JhengHei" w:eastAsia="Microsoft JhengHei"/>
          <w:lang w:eastAsia="zh-TW"/>
        </w:rPr>
      </w:pPr>
    </w:p>
    <w:p w14:paraId="78BBAFDC">
      <w:pPr>
        <w:pStyle w:val="3"/>
        <w:rPr>
          <w:rFonts w:ascii="Microsoft JhengHei" w:hAnsi="Microsoft JhengHei" w:eastAsia="Microsoft JhengHei"/>
          <w:lang w:eastAsia="zh-TW"/>
        </w:rPr>
      </w:pPr>
    </w:p>
    <w:p w14:paraId="57DCFFBE">
      <w:pPr>
        <w:pStyle w:val="3"/>
        <w:rPr>
          <w:rFonts w:ascii="Microsoft JhengHei" w:hAnsi="Microsoft JhengHei" w:eastAsia="Microsoft JhengHei"/>
          <w:lang w:eastAsia="zh-TW"/>
        </w:rPr>
      </w:pPr>
    </w:p>
    <w:p w14:paraId="09F64463">
      <w:pPr>
        <w:pStyle w:val="3"/>
        <w:rPr>
          <w:rFonts w:ascii="Microsoft JhengHei" w:hAnsi="Microsoft JhengHei" w:eastAsia="Microsoft JhengHei"/>
          <w:lang w:eastAsia="zh-TW"/>
        </w:rPr>
      </w:pPr>
    </w:p>
    <w:p w14:paraId="7E63DBEE">
      <w:pPr>
        <w:pStyle w:val="3"/>
        <w:rPr>
          <w:rFonts w:ascii="Microsoft JhengHei" w:hAnsi="Microsoft JhengHei" w:eastAsia="Microsoft JhengHei"/>
          <w:lang w:eastAsia="zh-TW"/>
        </w:rPr>
      </w:pPr>
      <w:bookmarkStart w:id="1" w:name="_GoBack"/>
      <w:bookmarkEnd w:id="1"/>
      <w:r>
        <w:rPr>
          <w:rFonts w:ascii="Microsoft JhengHei" w:hAnsi="Microsoft JhengHei" w:eastAsia="Microsoft JhengHei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173355</wp:posOffset>
                </wp:positionV>
                <wp:extent cx="54165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F2D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o:spt="20" style="position:absolute;left:0pt;margin-left:-0.9pt;margin-top:13.65pt;height:0pt;width:426.5pt;z-index:251660288;mso-width-relative:page;mso-height-relative:page;" filled="f" stroked="t" coordsize="21600,21600" o:gfxdata="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mRRRXYAAAACAEAAA8AAAAAAAAAAQAgAAAAIgAAAGRycy9k&#10;b3ducmV2LnhtbFBLAQIUABQAAAAIAIdO4kCNfh8zyQEAAJ0DAAAOAAAAAAAAAAEAIAAAACcBAABk&#10;cnMvZTJvRG9jLnhtbFBLBQYAAAAABgAGAFkBAABiBQAAAAA=&#10;">
                <v:fill on="f" focussize="0,0"/>
                <v:stroke weight="0.5pt" color="#4F2D7F [3204]" joinstyle="round"/>
                <v:imagedata o:title=""/>
                <o:lock v:ext="edit" aspectratio="f"/>
              </v:line>
            </w:pict>
          </mc:Fallback>
        </mc:AlternateContent>
      </w:r>
    </w:p>
    <w:p w14:paraId="3017E618">
      <w:pPr>
        <w:pStyle w:val="3"/>
        <w:rPr>
          <w:rFonts w:ascii="Microsoft JhengHei" w:hAnsi="Microsoft JhengHei" w:eastAsia="Microsoft JhengHei"/>
          <w:lang w:eastAsia="zh-TW"/>
        </w:rPr>
      </w:pPr>
    </w:p>
    <w:p w14:paraId="3183FE3F">
      <w:pPr>
        <w:pStyle w:val="3"/>
        <w:rPr>
          <w:rFonts w:ascii="FZYouH_503L" w:hAnsi="FZYouH_503L" w:eastAsia="FZYouH_503L"/>
          <w:b/>
          <w:sz w:val="22"/>
          <w:szCs w:val="22"/>
          <w:lang w:eastAsia="zh-TW"/>
        </w:rPr>
      </w:pPr>
      <w:r>
        <w:rPr>
          <w:rFonts w:hint="eastAsia" w:ascii="FZYouH_503L" w:hAnsi="FZYouH_503L" w:eastAsia="FZYouH_503L"/>
          <w:b/>
          <w:sz w:val="22"/>
          <w:szCs w:val="22"/>
          <w:lang w:eastAsia="zh-CN"/>
        </w:rPr>
        <w:t>合伙人</w:t>
      </w:r>
      <w:r>
        <w:rPr>
          <w:rFonts w:ascii="FZYouH_503L" w:hAnsi="FZYouH_503L" w:eastAsia="FZYouH_503L"/>
          <w:b/>
          <w:sz w:val="22"/>
          <w:szCs w:val="22"/>
          <w:lang w:eastAsia="zh-CN"/>
        </w:rPr>
        <w:t xml:space="preserve"> - </w:t>
      </w:r>
      <w:r>
        <w:rPr>
          <w:rFonts w:hint="eastAsia" w:ascii="FZYouH_503L" w:hAnsi="FZYouH_503L" w:eastAsia="FZYouH_503L"/>
          <w:b/>
          <w:sz w:val="22"/>
          <w:szCs w:val="22"/>
          <w:lang w:eastAsia="zh-CN"/>
        </w:rPr>
        <w:t>咨询</w:t>
      </w:r>
    </w:p>
    <w:p w14:paraId="0E782C8F">
      <w:pPr>
        <w:pStyle w:val="58"/>
        <w:rPr>
          <w:rFonts w:ascii="Microsoft JhengHei" w:hAnsi="Microsoft JhengHei" w:eastAsia="Microsoft JhengHei"/>
        </w:rPr>
        <w:sectPr>
          <w:headerReference r:id="rId8" w:type="default"/>
          <w:headerReference r:id="rId9" w:type="even"/>
          <w:type w:val="continuous"/>
          <w:pgSz w:w="11906" w:h="16838"/>
          <w:pgMar w:top="1985" w:right="737" w:bottom="1134" w:left="2608" w:header="709" w:footer="567" w:gutter="0"/>
          <w:cols w:space="284" w:num="2"/>
          <w:docGrid w:linePitch="360" w:charSpace="0"/>
        </w:sectPr>
      </w:pPr>
    </w:p>
    <w:p w14:paraId="47D86A6C">
      <w:pPr>
        <w:pStyle w:val="4"/>
        <w:rPr>
          <w:rFonts w:ascii="FZYouH_503L" w:hAnsi="FZYouH_503L" w:eastAsia="FZYouH_503L"/>
          <w:lang w:eastAsia="zh-TW"/>
        </w:rPr>
      </w:pPr>
      <w:r>
        <w:rPr>
          <w:rFonts w:hint="eastAsia" w:ascii="FZYouH_503L" w:hAnsi="FZYouH_503L" w:eastAsia="FZYouH_503L"/>
          <w:lang w:eastAsia="zh-CN"/>
        </w:rPr>
        <w:t>潘宏烽为致同（香港）会计师事务所有限公司咨询服务合伙人，该事务所为</w:t>
      </w:r>
      <w:r>
        <w:rPr>
          <w:rFonts w:ascii="GT Walsheim Pro Regular" w:hAnsi="GT Walsheim Pro Regular" w:eastAsia="FZYouH_503L"/>
          <w:lang w:eastAsia="zh-CN"/>
        </w:rPr>
        <w:t>Grant Thornton International Ltd</w:t>
      </w:r>
      <w:r>
        <w:rPr>
          <w:rFonts w:hint="eastAsia" w:ascii="FZYouH_503L" w:hAnsi="FZYouH_503L" w:eastAsia="FZYouH_503L"/>
          <w:lang w:eastAsia="zh-CN"/>
        </w:rPr>
        <w:t>（致同国际）成员所。</w:t>
      </w:r>
      <w:r>
        <w:rPr>
          <w:rFonts w:ascii="FZYouH_503L" w:hAnsi="FZYouH_503L" w:eastAsia="FZYouH_503L"/>
          <w:lang w:eastAsia="zh-TW"/>
        </w:rPr>
        <w:t xml:space="preserve"> </w:t>
      </w:r>
    </w:p>
    <w:p w14:paraId="4A62F6A3">
      <w:pPr>
        <w:pStyle w:val="4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潘先生在公司估值、无形资产评估及金融工具评估工作拥有超过</w:t>
      </w:r>
      <w:r>
        <w:rPr>
          <w:rFonts w:ascii="FZYouH_503L" w:hAnsi="FZYouH_503L" w:eastAsia="FZYouH_503L"/>
          <w:lang w:eastAsia="zh-CN"/>
        </w:rPr>
        <w:t xml:space="preserve"> 16 </w:t>
      </w:r>
      <w:r>
        <w:rPr>
          <w:rFonts w:hint="eastAsia" w:ascii="FZYouH_503L" w:hAnsi="FZYouH_503L" w:eastAsia="FZYouH_503L"/>
          <w:lang w:eastAsia="zh-CN"/>
        </w:rPr>
        <w:t>年经验，涵盖国内、香港及海外地区之估值服务，其中包括︰财务报告、策略或交易评估、融资支持及向法庭提交的专家支持。</w:t>
      </w:r>
    </w:p>
    <w:p w14:paraId="5DA72396">
      <w:pPr>
        <w:pStyle w:val="4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作为估值专家，潘先生特别注意数据资产的发展。</w:t>
      </w:r>
      <w:r>
        <w:rPr>
          <w:rFonts w:ascii="FZYouH_503L" w:hAnsi="FZYouH_503L" w:eastAsia="FZYouH_503L"/>
          <w:lang w:eastAsia="zh-CN"/>
        </w:rPr>
        <w:t>2024</w:t>
      </w:r>
      <w:r>
        <w:rPr>
          <w:rFonts w:hint="eastAsia" w:ascii="FZYouH_503L" w:hAnsi="FZYouH_503L" w:eastAsia="FZYouH_503L"/>
          <w:lang w:eastAsia="zh-CN"/>
        </w:rPr>
        <w:t>年1月，潘先生代表致同香港发表《数据资产的价值释放：挑战与机遇》的报告</w:t>
      </w:r>
      <w:r>
        <w:rPr>
          <w:rStyle w:val="32"/>
          <w:rFonts w:ascii="FZYouH_503L" w:hAnsi="FZYouH_503L" w:eastAsia="FZYouH_503L"/>
          <w:lang w:eastAsia="zh-CN"/>
        </w:rPr>
        <w:footnoteReference w:id="0"/>
      </w:r>
      <w:r>
        <w:rPr>
          <w:rFonts w:hint="eastAsia" w:ascii="FZYouH_503L" w:hAnsi="FZYouH_503L" w:eastAsia="FZYouH_503L"/>
          <w:lang w:eastAsia="zh-CN"/>
        </w:rPr>
        <w:t>，并于2月接受香港电台节目访问有关数据资产发展，以及6月于香港会计师公会讲座宣讲《何谓数据资产及如何估值》。</w:t>
      </w:r>
    </w:p>
    <w:p w14:paraId="63E37361">
      <w:pPr>
        <w:pStyle w:val="4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另一方面，潘先生亦非常留意ESG和估值之间的关系。除担任</w:t>
      </w:r>
      <w:r>
        <w:rPr>
          <w:rFonts w:hint="eastAsia" w:ascii="FZYouH_503L" w:hAnsi="FZYouH_503L" w:eastAsia="FZYouH_503L"/>
          <w:szCs w:val="22"/>
          <w:lang w:eastAsia="zh-CN"/>
        </w:rPr>
        <w:t>香港会计师公会可持续发展委员会成员以外，更于2</w:t>
      </w:r>
      <w:r>
        <w:rPr>
          <w:rFonts w:ascii="FZYouH_503L" w:hAnsi="FZYouH_503L" w:eastAsia="FZYouH_503L"/>
          <w:szCs w:val="22"/>
          <w:lang w:eastAsia="zh-CN"/>
        </w:rPr>
        <w:t>023</w:t>
      </w:r>
      <w:r>
        <w:rPr>
          <w:rFonts w:hint="eastAsia" w:ascii="FZYouH_503L" w:hAnsi="FZYouH_503L" w:eastAsia="FZYouH_503L"/>
          <w:szCs w:val="22"/>
          <w:lang w:eastAsia="zh-CN"/>
        </w:rPr>
        <w:t>年在欧洲商业估值杂志发表</w:t>
      </w:r>
      <w:r>
        <w:rPr>
          <w:rFonts w:hint="eastAsia" w:ascii="FZYouH_503L" w:hAnsi="FZYouH_503L" w:eastAsia="FZYouH_503L"/>
          <w:lang w:eastAsia="zh-CN"/>
        </w:rPr>
        <w:t>《E</w:t>
      </w:r>
      <w:r>
        <w:rPr>
          <w:rFonts w:ascii="FZYouH_503L" w:hAnsi="FZYouH_503L" w:eastAsia="FZYouH_503L"/>
          <w:lang w:eastAsia="zh-CN"/>
        </w:rPr>
        <w:t>SG</w:t>
      </w:r>
      <w:r>
        <w:rPr>
          <w:rFonts w:hint="eastAsia" w:ascii="FZYouH_503L" w:hAnsi="FZYouH_503L" w:eastAsia="FZYouH_503L"/>
          <w:lang w:eastAsia="zh-CN"/>
        </w:rPr>
        <w:t xml:space="preserve">整合 </w:t>
      </w:r>
      <w:r>
        <w:rPr>
          <w:rFonts w:ascii="FZYouH_503L" w:hAnsi="FZYouH_503L" w:eastAsia="FZYouH_503L"/>
          <w:lang w:eastAsia="zh-CN"/>
        </w:rPr>
        <w:t xml:space="preserve">– </w:t>
      </w:r>
      <w:r>
        <w:rPr>
          <w:rFonts w:hint="eastAsia" w:ascii="FZYouH_503L" w:hAnsi="FZYouH_503L" w:eastAsia="FZYouH_503L"/>
          <w:lang w:eastAsia="zh-CN"/>
        </w:rPr>
        <w:t>商业估值的现在与未来》一文分享如何于企业估值应用和考虑ESG因素的影响。</w:t>
      </w:r>
    </w:p>
    <w:p w14:paraId="1467A1E9">
      <w:pPr>
        <w:pStyle w:val="4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潘先生曾服务之客户和评估目标项目横跨多个行业，如︰私募股权、证券、资产管理、人工智能、金融科技、银行、保险、网上支付、微企信贷、生物科技、医疗保健、监管机构、消费品、软件、房地产、物业管理、工业、娱乐、电玩游戏、教育、授权经销、营销、媒体、餐饮、基建、绿能环保建设、污水处理、物流等。</w:t>
      </w:r>
    </w:p>
    <w:p w14:paraId="011ECFBB">
      <w:pPr>
        <w:pStyle w:val="4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潘先生在加入致同之前，于一家国际估值企业任职商业及财务工具评估部的董事兼主管，负责内地及港澳地区客户的公司估值。</w:t>
      </w:r>
    </w:p>
    <w:p w14:paraId="6900BEED">
      <w:pPr>
        <w:pStyle w:val="5"/>
        <w:shd w:val="clear" w:color="auto" w:fill="FFFFFF"/>
        <w:rPr>
          <w:rFonts w:ascii="FZYouH_503L" w:hAnsi="FZYouH_503L" w:eastAsia="FZYouH_503L"/>
          <w:sz w:val="22"/>
          <w:szCs w:val="22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潘先生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是香港会计师公会企业估值课程的课程总监。他亦是香港会计师公会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HKICPA</w:t>
      </w:r>
      <w:r>
        <w:rPr>
          <w:rFonts w:ascii="FZYouH_503L" w:hAnsi="FZYouH_503L" w:eastAsia="FZYouH_503L"/>
          <w:sz w:val="22"/>
          <w:szCs w:val="22"/>
          <w:lang w:eastAsia="zh-CN"/>
        </w:rPr>
        <w:t>)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会员、中国注册会计师协会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CICPA</w:t>
      </w:r>
      <w:r>
        <w:rPr>
          <w:rFonts w:ascii="FZYouH_503L" w:hAnsi="FZYouH_503L" w:eastAsia="FZYouH_503L"/>
          <w:sz w:val="22"/>
          <w:szCs w:val="22"/>
          <w:lang w:eastAsia="zh-CN"/>
        </w:rPr>
        <w:t>)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非执业会员、中国资产评估协会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CAS</w:t>
      </w:r>
      <w:r>
        <w:rPr>
          <w:rFonts w:ascii="FZYouH_503L" w:hAnsi="FZYouH_503L" w:eastAsia="FZYouH_503L"/>
          <w:sz w:val="22"/>
          <w:szCs w:val="22"/>
          <w:lang w:eastAsia="zh-CN"/>
        </w:rPr>
        <w:t>)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非执业会员、</w:t>
      </w:r>
      <w:r>
        <w:rPr>
          <w:rFonts w:hint="eastAsia" w:ascii="FZYouH_503L" w:hAnsi="FZYouH_503L" w:eastAsia="FZYouH_503L"/>
          <w:color w:val="202124"/>
          <w:sz w:val="22"/>
          <w:szCs w:val="22"/>
          <w:lang w:eastAsia="zh-CN"/>
        </w:rPr>
        <w:t>国际职业风险管理师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协会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PRMIA</w:t>
      </w:r>
      <w:r>
        <w:rPr>
          <w:rFonts w:ascii="FZYouH_503L" w:hAnsi="FZYouH_503L" w:eastAsia="FZYouH_503L"/>
          <w:sz w:val="22"/>
          <w:szCs w:val="22"/>
          <w:lang w:eastAsia="zh-CN"/>
        </w:rPr>
        <w:t>)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委任的专业风险管理师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PRM</w:t>
      </w:r>
      <w:r>
        <w:rPr>
          <w:rFonts w:ascii="FZYouH_503L" w:hAnsi="FZYouH_503L" w:eastAsia="FZYouH_503L"/>
          <w:sz w:val="22"/>
          <w:szCs w:val="22"/>
          <w:lang w:eastAsia="zh-CN"/>
        </w:rPr>
        <w:t xml:space="preserve">) 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及拥有欧洲金融分析师协会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EFFAS</w:t>
      </w:r>
      <w:r>
        <w:rPr>
          <w:rFonts w:ascii="FZYouH_503L" w:hAnsi="FZYouH_503L" w:eastAsia="FZYouH_503L"/>
          <w:sz w:val="22"/>
          <w:szCs w:val="22"/>
          <w:lang w:eastAsia="zh-CN"/>
        </w:rPr>
        <w:t>)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认可的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ESG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分析师认证</w:t>
      </w:r>
      <w:r>
        <w:rPr>
          <w:rFonts w:ascii="FZYouH_503L" w:hAnsi="FZYouH_503L" w:eastAsia="FZYouH_503L"/>
          <w:sz w:val="22"/>
          <w:szCs w:val="22"/>
          <w:lang w:eastAsia="zh-CN"/>
        </w:rPr>
        <w:t>(</w:t>
      </w:r>
      <w:r>
        <w:rPr>
          <w:rFonts w:ascii="GT Walsheim Pro Regular" w:hAnsi="GT Walsheim Pro Regular" w:eastAsia="FZYouH_503L"/>
          <w:sz w:val="22"/>
          <w:szCs w:val="22"/>
          <w:lang w:eastAsia="zh-CN"/>
        </w:rPr>
        <w:t>CESGA</w:t>
      </w:r>
      <w:r>
        <w:rPr>
          <w:rFonts w:ascii="FZYouH_503L" w:hAnsi="FZYouH_503L" w:eastAsia="FZYouH_503L"/>
          <w:sz w:val="22"/>
          <w:szCs w:val="22"/>
          <w:lang w:eastAsia="zh-CN"/>
        </w:rPr>
        <w:t>)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。他荣获国际财务报告准则基金会颁发的</w:t>
      </w:r>
      <w:r>
        <w:rPr>
          <w:rFonts w:ascii="FZYouH_503L" w:hAnsi="FZYouH_503L" w:eastAsia="FZYouH_503L"/>
          <w:sz w:val="22"/>
          <w:szCs w:val="22"/>
          <w:lang w:eastAsia="zh-CN"/>
        </w:rPr>
        <w:t>FSA</w:t>
      </w:r>
      <w:r>
        <w:rPr>
          <w:rFonts w:hint="eastAsia" w:ascii="FZYouH_503L" w:hAnsi="FZYouH_503L" w:eastAsia="FZYouH_503L"/>
          <w:sz w:val="22"/>
          <w:szCs w:val="22"/>
          <w:lang w:eastAsia="zh-CN"/>
        </w:rPr>
        <w:t>资格证书及曾担任数码港专业服务网络的顾问，并担任许多协会和机构的演讲嘉宾，就估值、行业和业务发展等不同主题发表演讲。</w:t>
      </w:r>
    </w:p>
    <w:p w14:paraId="08C972AD">
      <w:pPr>
        <w:pStyle w:val="4"/>
        <w:rPr>
          <w:rFonts w:ascii="FZYouH_503L" w:hAnsi="FZYouH_503L" w:eastAsia="FZYouH_503L"/>
          <w:lang w:eastAsia="zh-CN"/>
        </w:rPr>
      </w:pPr>
    </w:p>
    <w:p w14:paraId="66CCA9B8">
      <w:pPr>
        <w:pStyle w:val="4"/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lang w:eastAsia="zh-CN"/>
        </w:rPr>
        <w:t>潘先生</w:t>
      </w:r>
      <w:r>
        <w:rPr>
          <w:rFonts w:hint="eastAsia" w:ascii="FZYouH_503L" w:hAnsi="FZYouH_503L" w:eastAsia="FZYouH_503L"/>
          <w:szCs w:val="22"/>
          <w:lang w:eastAsia="zh-CN"/>
        </w:rPr>
        <w:t>在各专业领域担任的职务如下：</w:t>
      </w:r>
      <w:r>
        <w:rPr>
          <w:rFonts w:ascii="FZYouH_503L" w:hAnsi="FZYouH_503L" w:eastAsia="FZYouH_503L"/>
          <w:szCs w:val="22"/>
          <w:lang w:eastAsia="zh-CN"/>
        </w:rPr>
        <w:t xml:space="preserve"> </w:t>
      </w:r>
    </w:p>
    <w:p w14:paraId="75907A20">
      <w:pPr>
        <w:pStyle w:val="4"/>
        <w:numPr>
          <w:ilvl w:val="0"/>
          <w:numId w:val="6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香港会计师公会专业发展委员会主席</w:t>
      </w:r>
    </w:p>
    <w:p w14:paraId="35CB0A22">
      <w:pPr>
        <w:pStyle w:val="4"/>
        <w:numPr>
          <w:ilvl w:val="0"/>
          <w:numId w:val="6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香港会计师公会财务报告评估小组成员</w:t>
      </w:r>
    </w:p>
    <w:p w14:paraId="3BA10B5B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香港会计师公会可持续发展咨询小组成员</w:t>
      </w:r>
    </w:p>
    <w:p w14:paraId="792D1C73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香港会计师公会可持续发展委员会成员</w:t>
      </w:r>
      <w:r>
        <w:rPr>
          <w:rFonts w:ascii="FZYouH_503L" w:hAnsi="FZYouH_503L" w:eastAsia="FZYouH_503L"/>
          <w:szCs w:val="22"/>
          <w:lang w:eastAsia="zh-CN"/>
        </w:rPr>
        <w:t xml:space="preserve"> </w:t>
      </w:r>
    </w:p>
    <w:p w14:paraId="22182AA5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香港会计师公会大湾区委员会成员</w:t>
      </w:r>
    </w:p>
    <w:p w14:paraId="303D0C0D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中国注册会计师协会香港办公室会员服务咨询委员会成员</w:t>
      </w:r>
    </w:p>
    <w:p w14:paraId="20748C0B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香港独立非执行董事协会常务理事会及商业评估委员会副主席</w:t>
      </w:r>
    </w:p>
    <w:p w14:paraId="23A3CC8F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香港总商会知识产权融资贸易工作小组成员</w:t>
      </w:r>
    </w:p>
    <w:p w14:paraId="4EC8898D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TW"/>
        </w:rPr>
      </w:pPr>
      <w:r>
        <w:rPr>
          <w:rFonts w:hint="eastAsia" w:ascii="FZYouH_503L" w:hAnsi="FZYouH_503L" w:eastAsia="FZYouH_503L"/>
          <w:szCs w:val="22"/>
          <w:lang w:eastAsia="zh-CN"/>
        </w:rPr>
        <w:t>香港总商会卓青社委员</w:t>
      </w:r>
    </w:p>
    <w:p w14:paraId="743F1CE6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亚洲知识产权营商论坛策划委员会会员</w:t>
      </w:r>
    </w:p>
    <w:p w14:paraId="0A5A142F">
      <w:pPr>
        <w:pStyle w:val="4"/>
        <w:numPr>
          <w:ilvl w:val="0"/>
          <w:numId w:val="7"/>
        </w:numPr>
        <w:spacing w:after="240" w:afterLines="100" w:line="240" w:lineRule="auto"/>
        <w:rPr>
          <w:rFonts w:ascii="FZYouH_503L" w:hAnsi="FZYouH_503L" w:eastAsia="FZYouH_503L"/>
          <w:szCs w:val="22"/>
          <w:lang w:eastAsia="zh-CN"/>
        </w:rPr>
      </w:pPr>
      <w:r>
        <w:rPr>
          <w:rFonts w:hint="eastAsia" w:ascii="FZYouH_503L" w:hAnsi="FZYouH_503L" w:eastAsia="FZYouH_503L"/>
          <w:szCs w:val="22"/>
          <w:lang w:eastAsia="zh-CN"/>
        </w:rPr>
        <w:t>香港特别行政区处置补偿审裁处委员团成员</w:t>
      </w:r>
    </w:p>
    <w:p w14:paraId="3E9AD543">
      <w:pPr>
        <w:pStyle w:val="3"/>
        <w:rPr>
          <w:rFonts w:ascii="Microsoft JhengHei" w:hAnsi="Microsoft JhengHei" w:eastAsia="Microsoft JhengHei"/>
          <w:bCs w:val="0"/>
          <w:color w:val="auto"/>
          <w:kern w:val="0"/>
          <w:sz w:val="22"/>
          <w:szCs w:val="20"/>
          <w:lang w:eastAsia="zh-CN"/>
        </w:rPr>
      </w:pPr>
    </w:p>
    <w:p w14:paraId="064DD24B">
      <w:pPr>
        <w:pStyle w:val="4"/>
        <w:rPr>
          <w:lang w:eastAsia="zh-CN"/>
        </w:rPr>
      </w:pPr>
    </w:p>
    <w:p w14:paraId="0346C33A">
      <w:pPr>
        <w:pStyle w:val="3"/>
        <w:rPr>
          <w:rFonts w:ascii="FZYouH_503L" w:hAnsi="FZYouH_503L" w:eastAsia="FZYouH_503L"/>
          <w:b/>
          <w:sz w:val="22"/>
          <w:szCs w:val="22"/>
          <w:lang w:eastAsia="zh-CN"/>
        </w:rPr>
      </w:pPr>
      <w:r>
        <w:rPr>
          <w:rFonts w:hint="eastAsia" w:ascii="FZYouH_503L" w:hAnsi="FZYouH_503L" w:eastAsia="FZYouH_503L"/>
          <w:b/>
          <w:sz w:val="22"/>
          <w:szCs w:val="22"/>
          <w:lang w:eastAsia="zh-CN"/>
        </w:rPr>
        <w:t>联络资料</w:t>
      </w:r>
    </w:p>
    <w:p w14:paraId="66CBDC2D">
      <w:pPr>
        <w:autoSpaceDE w:val="0"/>
        <w:autoSpaceDN w:val="0"/>
        <w:adjustRightInd w:val="0"/>
        <w:rPr>
          <w:rFonts w:ascii="FZYouH_503L" w:hAnsi="FZYouH_503L" w:eastAsia="FZYouH_503L"/>
          <w:sz w:val="16"/>
          <w:szCs w:val="16"/>
          <w:lang w:val="zh-CN" w:eastAsia="zh-CN"/>
        </w:rPr>
      </w:pPr>
      <w:r>
        <w:rPr>
          <w:rFonts w:hint="eastAsia" w:ascii="FZYouH_503L" w:hAnsi="FZYouH_503L" w:eastAsia="FZYouH_503L"/>
          <w:sz w:val="16"/>
          <w:szCs w:val="16"/>
          <w:lang w:val="zh-CN" w:eastAsia="zh-CN"/>
        </w:rPr>
        <w:t>中国香港</w:t>
      </w:r>
    </w:p>
    <w:p w14:paraId="366C3EEA">
      <w:pPr>
        <w:autoSpaceDE w:val="0"/>
        <w:autoSpaceDN w:val="0"/>
        <w:adjustRightInd w:val="0"/>
        <w:rPr>
          <w:rFonts w:ascii="FZYouH_503L" w:hAnsi="FZYouH_503L" w:eastAsia="FZYouH_503L"/>
          <w:sz w:val="16"/>
          <w:szCs w:val="16"/>
          <w:lang w:val="zh-CN" w:eastAsia="zh-CN"/>
        </w:rPr>
      </w:pPr>
      <w:r>
        <w:rPr>
          <w:rFonts w:hint="eastAsia" w:ascii="FZYouH_503L" w:hAnsi="FZYouH_503L" w:eastAsia="FZYouH_503L"/>
          <w:sz w:val="16"/>
          <w:szCs w:val="16"/>
          <w:lang w:val="zh-CN" w:eastAsia="zh-CN"/>
        </w:rPr>
        <w:t>铜锣湾恩平道</w:t>
      </w:r>
      <w:r>
        <w:rPr>
          <w:rFonts w:ascii="FZYouH_503L" w:hAnsi="FZYouH_503L" w:eastAsia="FZYouH_503L"/>
          <w:sz w:val="16"/>
          <w:szCs w:val="16"/>
          <w:lang w:val="zh-CN" w:eastAsia="zh-CN"/>
        </w:rPr>
        <w:t>28</w:t>
      </w:r>
      <w:r>
        <w:rPr>
          <w:rFonts w:hint="eastAsia" w:ascii="FZYouH_503L" w:hAnsi="FZYouH_503L" w:eastAsia="FZYouH_503L"/>
          <w:sz w:val="16"/>
          <w:szCs w:val="16"/>
          <w:lang w:val="zh-CN" w:eastAsia="zh-CN"/>
        </w:rPr>
        <w:t>号利园二期</w:t>
      </w:r>
      <w:r>
        <w:rPr>
          <w:rFonts w:ascii="FZYouH_503L" w:hAnsi="FZYouH_503L" w:eastAsia="FZYouH_503L"/>
          <w:sz w:val="16"/>
          <w:szCs w:val="16"/>
          <w:lang w:val="zh-CN" w:eastAsia="zh-CN"/>
        </w:rPr>
        <w:t>11</w:t>
      </w:r>
      <w:r>
        <w:rPr>
          <w:rFonts w:hint="eastAsia" w:ascii="FZYouH_503L" w:hAnsi="FZYouH_503L" w:eastAsia="FZYouH_503L"/>
          <w:sz w:val="16"/>
          <w:szCs w:val="16"/>
          <w:lang w:val="zh-CN" w:eastAsia="zh-CN"/>
        </w:rPr>
        <w:t>楼</w:t>
      </w:r>
    </w:p>
    <w:p w14:paraId="5182DBD0">
      <w:pPr>
        <w:rPr>
          <w:rFonts w:ascii="FZYouH_503L" w:hAnsi="FZYouH_503L" w:eastAsia="FZYouH_503L"/>
          <w:bCs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</w:pPr>
    </w:p>
    <w:p w14:paraId="2767B217">
      <w:pPr>
        <w:pStyle w:val="58"/>
        <w:rPr>
          <w:rFonts w:ascii="FZYouH_503L" w:hAnsi="FZYouH_503L" w:eastAsia="FZYouH_503L"/>
          <w:b/>
          <w:lang w:eastAsia="zh-CN"/>
        </w:rPr>
      </w:pPr>
    </w:p>
    <w:p w14:paraId="4EDC60F1">
      <w:pPr>
        <w:pStyle w:val="58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b/>
          <w:lang w:eastAsia="zh-CN"/>
        </w:rPr>
        <w:t>手机</w:t>
      </w:r>
      <w:r>
        <w:rPr>
          <w:rFonts w:ascii="FZYouH_503L" w:hAnsi="FZYouH_503L" w:eastAsia="FZYouH_503L"/>
          <w:lang w:eastAsia="zh-CN"/>
        </w:rPr>
        <w:t xml:space="preserve"> +852 9221 4010 / +86 147 1601 8405</w:t>
      </w:r>
    </w:p>
    <w:p w14:paraId="0C583336">
      <w:pPr>
        <w:pStyle w:val="58"/>
        <w:rPr>
          <w:rFonts w:ascii="FZYouH_503L" w:hAnsi="FZYouH_503L" w:eastAsia="FZYouH_503L"/>
          <w:lang w:eastAsia="zh-CN"/>
        </w:rPr>
      </w:pPr>
      <w:r>
        <w:rPr>
          <w:rFonts w:hint="eastAsia" w:ascii="FZYouH_503L" w:hAnsi="FZYouH_503L" w:eastAsia="FZYouH_503L"/>
          <w:b/>
          <w:lang w:eastAsia="zh-CN"/>
        </w:rPr>
        <w:t>电话</w:t>
      </w:r>
      <w:r>
        <w:rPr>
          <w:rFonts w:ascii="FZYouH_503L" w:hAnsi="FZYouH_503L" w:eastAsia="FZYouH_503L"/>
          <w:lang w:eastAsia="zh-CN"/>
        </w:rPr>
        <w:t xml:space="preserve"> +852 3987 1263</w:t>
      </w:r>
    </w:p>
    <w:p w14:paraId="0E7A46AC">
      <w:pPr>
        <w:pStyle w:val="58"/>
        <w:rPr>
          <w:rFonts w:ascii="Microsoft JhengHei" w:hAnsi="Microsoft JhengHei" w:eastAsia="Microsoft JhengHei"/>
          <w:lang w:eastAsia="zh-CN"/>
        </w:rPr>
      </w:pPr>
      <w:r>
        <w:rPr>
          <w:rFonts w:hint="eastAsia" w:ascii="FZYouH_503L" w:hAnsi="FZYouH_503L" w:eastAsia="FZYouH_503L"/>
          <w:b/>
          <w:lang w:eastAsia="zh-CN"/>
        </w:rPr>
        <w:t>电邮</w:t>
      </w:r>
      <w:r>
        <w:rPr>
          <w:rFonts w:ascii="Microsoft JhengHei" w:hAnsi="Microsoft JhengHei" w:eastAsia="Microsoft JhengHei"/>
          <w:lang w:eastAsia="zh-CN"/>
        </w:rPr>
        <w:t xml:space="preserve"> </w:t>
      </w:r>
      <w:r>
        <w:fldChar w:fldCharType="begin"/>
      </w:r>
      <w:r>
        <w:instrText xml:space="preserve"> HYPERLINK "mailto:Wiley.WF.Pun@hk.gt.com" </w:instrText>
      </w:r>
      <w:r>
        <w:fldChar w:fldCharType="separate"/>
      </w:r>
      <w:r>
        <w:rPr>
          <w:rStyle w:val="31"/>
          <w:rFonts w:ascii="Microsoft JhengHei" w:hAnsi="Microsoft JhengHei" w:eastAsia="Microsoft JhengHei"/>
          <w:lang w:eastAsia="zh-CN"/>
        </w:rPr>
        <w:t>Wiley.WF.Pun@hk.gt.com</w:t>
      </w:r>
      <w:r>
        <w:rPr>
          <w:rStyle w:val="31"/>
          <w:rFonts w:ascii="Microsoft JhengHei" w:hAnsi="Microsoft JhengHei" w:eastAsia="Microsoft JhengHei"/>
          <w:lang w:eastAsia="zh-CN"/>
        </w:rPr>
        <w:fldChar w:fldCharType="end"/>
      </w:r>
    </w:p>
    <w:p w14:paraId="0D93F0E8">
      <w:pPr>
        <w:pStyle w:val="58"/>
        <w:rPr>
          <w:rFonts w:ascii="Microsoft JhengHei" w:hAnsi="Microsoft JhengHei" w:eastAsia="Microsoft JhengHei"/>
          <w:lang w:eastAsia="zh-TW"/>
        </w:rPr>
      </w:pPr>
      <w:r>
        <w:rPr>
          <w:rFonts w:hint="eastAsia" w:ascii="FZYouH_503L" w:hAnsi="FZYouH_503L" w:eastAsia="FZYouH_503L"/>
          <w:b/>
          <w:lang w:eastAsia="zh-CN"/>
        </w:rPr>
        <w:t>微信</w:t>
      </w:r>
      <w:r>
        <w:rPr>
          <w:rFonts w:ascii="Microsoft JhengHei" w:hAnsi="Microsoft JhengHei" w:eastAsia="Microsoft JhengHei"/>
          <w:lang w:eastAsia="zh-CN"/>
        </w:rPr>
        <w:t xml:space="preserve"> Wileypun</w:t>
      </w:r>
    </w:p>
    <w:sectPr>
      <w:type w:val="continuous"/>
      <w:pgSz w:w="11906" w:h="16838"/>
      <w:pgMar w:top="1985" w:right="737" w:bottom="1134" w:left="2608" w:header="709" w:footer="567" w:gutter="0"/>
      <w:cols w:space="284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YouH_503L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NewsGothic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T Walsheim Pro Regular">
    <w:altName w:val="DejaVu Math TeX Gyre"/>
    <w:panose1 w:val="02000503040000020003"/>
    <w:charset w:val="00"/>
    <w:family w:val="modern"/>
    <w:pitch w:val="default"/>
    <w:sig w:usb0="00000000" w:usb1="00000000" w:usb2="00000000" w:usb3="00000000" w:csb0="0000009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262D2">
    <w:pPr>
      <w:autoSpaceDE w:val="0"/>
      <w:autoSpaceDN w:val="0"/>
      <w:adjustRightInd w:val="0"/>
      <w:rPr>
        <w:rFonts w:ascii="Microsoft JhengHei" w:hAnsi="Microsoft JhengHei" w:cs="黑体" w:eastAsiaTheme="minorEastAsia"/>
        <w:b/>
        <w:color w:val="747678"/>
        <w:sz w:val="13"/>
        <w:szCs w:val="13"/>
        <w:lang w:eastAsia="zh-CN"/>
      </w:rPr>
    </w:pP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 xml:space="preserve"> </w:t>
    </w:r>
    <w:r>
      <w:rPr>
        <w:rFonts w:ascii="Microsoft JhengHei" w:hAnsi="Microsoft JhengHei" w:eastAsia="Microsoft JhengHei" w:cs="黑体"/>
        <w:b/>
        <w:color w:val="747678"/>
        <w:sz w:val="13"/>
        <w:szCs w:val="13"/>
        <w:lang w:eastAsia="zh-CN"/>
      </w:rPr>
      <w:t>© 2024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致同（香港）会计师事务所有限公司。版权所有。</w:t>
    </w:r>
  </w:p>
  <w:p w14:paraId="3220ED76">
    <w:pPr>
      <w:autoSpaceDE w:val="0"/>
      <w:autoSpaceDN w:val="0"/>
      <w:adjustRightInd w:val="0"/>
      <w:rPr>
        <w:rFonts w:ascii="Microsoft JhengHei" w:hAnsi="Microsoft JhengHei" w:eastAsia="Microsoft JhengHei"/>
        <w:b/>
        <w:color w:val="747678"/>
        <w:sz w:val="13"/>
        <w:szCs w:val="13"/>
        <w:lang w:eastAsia="zh-CN"/>
      </w:rPr>
    </w:pP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“致同”是指致同成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员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所在提供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审计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、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税务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和咨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询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服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务时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所使用的品牌，并按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语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境的要求可指一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间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或多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间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成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员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所。致同（香港）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会计师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事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所有限公司是</w:t>
    </w:r>
    <w:r>
      <w:rPr>
        <w:rFonts w:ascii="Microsoft JhengHei" w:hAnsi="Microsoft JhengHei" w:eastAsia="Microsoft JhengHei" w:cs="NewsGothic-Bold"/>
        <w:b/>
        <w:bCs/>
        <w:color w:val="747678"/>
        <w:sz w:val="13"/>
        <w:szCs w:val="13"/>
        <w:lang w:eastAsia="zh-CN"/>
      </w:rPr>
      <w:t>Grant Thornton International Ltd</w:t>
    </w:r>
    <w:r>
      <w:rPr>
        <w:rFonts w:hint="eastAsia" w:ascii="Microsoft JhengHei" w:hAnsi="Microsoft JhengHei" w:eastAsia="Microsoft JhengHei" w:cs="NewsGothic-Bold"/>
        <w:b/>
        <w:bCs/>
        <w:color w:val="747678"/>
        <w:sz w:val="13"/>
        <w:szCs w:val="13"/>
        <w:lang w:eastAsia="zh-CN"/>
      </w:rPr>
      <w:t>（致同国际）的成员所。致同国际与各成员所并非全球合伙关系。致同国际和各成员所是独立的法律实体。服务由各成员所提供。致同国际不向客户提供服务。致同国际与各成员所并非彼此的代理，彼此间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不存在任何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义务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，也不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为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彼此的行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为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或疏漏承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担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任何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责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任。</w:t>
    </w:r>
  </w:p>
  <w:p w14:paraId="237B3EB7">
    <w:pPr>
      <w:pStyle w:val="21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D6F3A">
    <w:pPr>
      <w:pStyle w:val="21"/>
      <w:rPr>
        <w:rFonts w:ascii="Microsoft JhengHei" w:hAnsi="Microsoft JhengHei" w:eastAsia="Microsoft JhengHei"/>
        <w:lang w:eastAsia="zh-CN"/>
      </w:rPr>
    </w:pPr>
    <w:r>
      <w:rPr>
        <w:rFonts w:ascii="Microsoft JhengHei" w:hAnsi="Microsoft JhengHei" w:eastAsia="Microsoft JhengHei"/>
        <w:lang w:eastAsia="zh-CN"/>
      </w:rPr>
      <w:t>© 2024</w:t>
    </w:r>
    <w:r>
      <w:rPr>
        <w:rFonts w:hint="eastAsia" w:ascii="Microsoft JhengHei" w:hAnsi="Microsoft JhengHei" w:eastAsia="Microsoft JhengHei"/>
        <w:lang w:eastAsia="zh-CN"/>
      </w:rPr>
      <w:t>致同（香港）会计师事务所有限公司。版权所有。</w:t>
    </w:r>
  </w:p>
  <w:p w14:paraId="41B4A89A">
    <w:pPr>
      <w:autoSpaceDE w:val="0"/>
      <w:autoSpaceDN w:val="0"/>
      <w:adjustRightInd w:val="0"/>
      <w:rPr>
        <w:rFonts w:ascii="Microsoft JhengHei" w:hAnsi="Microsoft JhengHei" w:eastAsia="Microsoft JhengHei"/>
        <w:b/>
        <w:color w:val="747678"/>
        <w:sz w:val="13"/>
        <w:szCs w:val="13"/>
        <w:lang w:eastAsia="zh-CN"/>
      </w:rPr>
    </w:pP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“致同”是指致同成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员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所在提供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审计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、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税务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和咨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询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服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务时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所使用的品牌，并按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语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境的要求可指一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间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或多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间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成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员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所。致同（香港）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会计师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事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所有限公司是</w:t>
    </w:r>
    <w:r>
      <w:rPr>
        <w:rFonts w:ascii="Microsoft JhengHei" w:hAnsi="Microsoft JhengHei" w:eastAsia="Microsoft JhengHei" w:cs="NewsGothic-Bold"/>
        <w:b/>
        <w:bCs/>
        <w:color w:val="747678"/>
        <w:sz w:val="13"/>
        <w:szCs w:val="13"/>
        <w:lang w:eastAsia="zh-CN"/>
      </w:rPr>
      <w:t>Grant Thornton International Ltd</w:t>
    </w:r>
    <w:r>
      <w:rPr>
        <w:rFonts w:hint="eastAsia" w:ascii="Microsoft JhengHei" w:hAnsi="Microsoft JhengHei" w:eastAsia="Microsoft JhengHei" w:cs="NewsGothic-Bold"/>
        <w:b/>
        <w:bCs/>
        <w:color w:val="747678"/>
        <w:sz w:val="13"/>
        <w:szCs w:val="13"/>
        <w:lang w:eastAsia="zh-CN"/>
      </w:rPr>
      <w:t>（致同国际）的成员所。致同国际与各成员所并非全球合伙关系。致同国际和各成员所是独立的法律实体。服务由各成员所提供。致同国际不向客户提供服务。致同国际与各成员所并非彼此的代理，彼此间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不存在任何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义务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，也不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为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彼此的行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为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或疏漏承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担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任何</w:t>
    </w:r>
    <w:r>
      <w:rPr>
        <w:rFonts w:hint="cs" w:ascii="Microsoft JhengHei" w:hAnsi="Microsoft JhengHei" w:eastAsia="Microsoft JhengHei" w:cs="黑体"/>
        <w:b/>
        <w:color w:val="747678"/>
        <w:sz w:val="13"/>
        <w:szCs w:val="13"/>
        <w:lang w:eastAsia="zh-CN"/>
      </w:rPr>
      <w:t>责</w:t>
    </w:r>
    <w:r>
      <w:rPr>
        <w:rFonts w:hint="eastAsia" w:ascii="Microsoft JhengHei" w:hAnsi="Microsoft JhengHei" w:eastAsia="Microsoft JhengHei" w:cs="黑体"/>
        <w:b/>
        <w:color w:val="747678"/>
        <w:sz w:val="13"/>
        <w:szCs w:val="13"/>
        <w:lang w:eastAsia="zh-CN"/>
      </w:rPr>
      <w:t>任。</w:t>
    </w:r>
  </w:p>
  <w:p w14:paraId="21D7FB74">
    <w:pPr>
      <w:pStyle w:val="21"/>
      <w:rPr>
        <w:rFonts w:ascii="GT Walsheim Pro Regular" w:hAnsi="GT Walsheim Pro Regular"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426674D">
      <w:pPr>
        <w:pStyle w:val="25"/>
        <w:rPr>
          <w:rFonts w:hint="eastAsia" w:eastAsiaTheme="minorEastAsia"/>
          <w:lang w:eastAsia="zh-CN"/>
        </w:rPr>
      </w:pPr>
      <w:r>
        <w:rPr>
          <w:rStyle w:val="32"/>
        </w:rPr>
        <w:footnoteRef/>
      </w:r>
      <w:r>
        <w:t xml:space="preserve"> </w:t>
      </w:r>
      <w:r>
        <w:fldChar w:fldCharType="begin"/>
      </w:r>
      <w:r>
        <w:instrText xml:space="preserve"> HYPERLINK "https://www.grantthornton.cn/insights/3765.html" </w:instrText>
      </w:r>
      <w:r>
        <w:fldChar w:fldCharType="separate"/>
      </w:r>
      <w:r>
        <w:rPr>
          <w:rStyle w:val="31"/>
        </w:rPr>
        <w:t>https://www.grantthornton.cn/insights/3765.html</w:t>
      </w:r>
      <w:r>
        <w:rPr>
          <w:rStyle w:val="31"/>
        </w:rPr>
        <w:fldChar w:fldCharType="end"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FF2D8">
    <w:pPr>
      <w:pStyle w:val="22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8A271">
    <w:pPr>
      <w:pStyle w:val="22"/>
    </w:pPr>
  </w:p>
  <w:p w14:paraId="790ABEEB">
    <w:pPr>
      <w:pStyle w:val="22"/>
    </w:pPr>
  </w:p>
  <w:p w14:paraId="70445759">
    <w:pPr>
      <w:pStyle w:val="22"/>
    </w:pPr>
  </w:p>
  <w:p w14:paraId="49A4BB5F">
    <w:pPr>
      <w:pStyle w:val="22"/>
    </w:pPr>
  </w:p>
  <w:p w14:paraId="13898643">
    <w:pPr>
      <w:pStyle w:val="22"/>
    </w:pPr>
  </w:p>
  <w:p w14:paraId="1E7318EA">
    <w:pPr>
      <w:pStyle w:val="22"/>
    </w:pPr>
  </w:p>
  <w:p w14:paraId="03627A6D">
    <w:pPr>
      <w:pStyle w:val="22"/>
    </w:pPr>
  </w:p>
  <w:p w14:paraId="67A9D8E3">
    <w:pPr>
      <w:pStyle w:val="22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485775</wp:posOffset>
              </wp:positionV>
              <wp:extent cx="3884295" cy="774700"/>
              <wp:effectExtent l="0" t="0" r="3175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27"/>
                            <w:tblW w:w="6118" w:type="dxa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6118"/>
                          </w:tblGrid>
                          <w:tr w14:paraId="12093749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c>
                              <w:tcPr>
                                <w:tcW w:w="6117" w:type="dxa"/>
                              </w:tcPr>
                              <w:p w14:paraId="61E0EDB3">
                                <w:bookmarkStart w:id="0" w:name="Cover_tbl"/>
                                <w:r>
                                  <w:rPr>
                                    <w:lang w:val="en-US" w:eastAsia="zh-CN"/>
                                  </w:rPr>
                                  <w:drawing>
                                    <wp:inline distT="0" distB="0" distL="0" distR="0">
                                      <wp:extent cx="2705100" cy="771525"/>
                                      <wp:effectExtent l="19050" t="0" r="0" b="0"/>
                                      <wp:docPr id="5" name="Picture 5" descr="GTlogo-RGB9m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5" descr="GTlogo-RGB9m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05100" cy="771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4253AD8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79.4pt;margin-top:38.25pt;height:61pt;width:305.85pt;mso-position-horizontal-relative:page;mso-position-vertical-relative:page;z-index:251659264;mso-width-relative:page;mso-height-relative:page;" filled="f" stroked="f" coordsize="21600,21600" o:gfxdata="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A01njYAAAACgEAAA8AAAAAAAAAAQAgAAAAIgAAAGRycy9kb3du&#10;cmV2LnhtbFBLAQIUABQAAAAIAIdO4kCgQMO7/wEAAAQEAAAOAAAAAAAAAAEAIAAAACc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tbl>
                    <w:tblPr>
                      <w:tblStyle w:val="27"/>
                      <w:tblW w:w="6118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6118"/>
                    </w:tblGrid>
                    <w:tr w14:paraId="12093749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c>
                        <w:tcPr>
                          <w:tcW w:w="6117" w:type="dxa"/>
                        </w:tcPr>
                        <w:p w14:paraId="61E0EDB3">
                          <w:bookmarkStart w:id="0" w:name="Cover_tbl"/>
                          <w:r>
                            <w:rPr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2705100" cy="771525"/>
                                <wp:effectExtent l="19050" t="0" r="0" b="0"/>
                                <wp:docPr id="5" name="Picture 5" descr="GTlogo-RGB9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GTlogo-RGB9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0"/>
                  </w:tbl>
                  <w:p w14:paraId="4253AD8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58F41">
    <w:pPr>
      <w:pStyle w:val="22"/>
    </w:pPr>
    <w:r>
      <w:tab/>
    </w:r>
    <w:r>
      <w:rPr>
        <w:rStyle w:val="30"/>
      </w:rPr>
      <w:fldChar w:fldCharType="begin"/>
    </w:r>
    <w:r>
      <w:rPr>
        <w:rStyle w:val="30"/>
      </w:rPr>
      <w:instrText xml:space="preserve"> PAGE </w:instrText>
    </w:r>
    <w:r>
      <w:rPr>
        <w:rStyle w:val="30"/>
      </w:rPr>
      <w:fldChar w:fldCharType="separate"/>
    </w:r>
    <w:r>
      <w:rPr>
        <w:rStyle w:val="30"/>
      </w:rPr>
      <w:t>2</w:t>
    </w:r>
    <w:r>
      <w:rPr>
        <w:rStyle w:val="30"/>
      </w:rPr>
      <w:fldChar w:fldCharType="end"/>
    </w:r>
  </w:p>
  <w:p w14:paraId="21B14BC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30C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80C10"/>
    <w:multiLevelType w:val="multilevel"/>
    <w:tmpl w:val="01280C1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CCD4187"/>
    <w:multiLevelType w:val="multilevel"/>
    <w:tmpl w:val="0CCD4187"/>
    <w:lvl w:ilvl="0" w:tentative="0">
      <w:start w:val="1"/>
      <w:numFmt w:val="bullet"/>
      <w:pStyle w:val="15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7"/>
      <w:lvlText w:val="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</w:abstractNum>
  <w:abstractNum w:abstractNumId="2">
    <w:nsid w:val="16AF5E4B"/>
    <w:multiLevelType w:val="multilevel"/>
    <w:tmpl w:val="16AF5E4B"/>
    <w:lvl w:ilvl="0" w:tentative="0">
      <w:start w:val="1"/>
      <w:numFmt w:val="bullet"/>
      <w:pStyle w:val="34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57"/>
      <w:lvlText w:val="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">
    <w:nsid w:val="343D545A"/>
    <w:multiLevelType w:val="multilevel"/>
    <w:tmpl w:val="343D545A"/>
    <w:lvl w:ilvl="0" w:tentative="0">
      <w:start w:val="1"/>
      <w:numFmt w:val="upperRoman"/>
      <w:lvlText w:val="Article %1.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8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pStyle w:val="9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pStyle w:val="10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pStyle w:val="11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pStyle w:val="12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4">
    <w:nsid w:val="387A6AE0"/>
    <w:multiLevelType w:val="multilevel"/>
    <w:tmpl w:val="387A6AE0"/>
    <w:lvl w:ilvl="0" w:tentative="0">
      <w:start w:val="1"/>
      <w:numFmt w:val="decimal"/>
      <w:pStyle w:val="60"/>
      <w:lvlText w:val="%1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1" w:tentative="0">
      <w:start w:val="1"/>
      <w:numFmt w:val="decimal"/>
      <w:pStyle w:val="61"/>
      <w:lvlText w:val="%1.%2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5">
    <w:nsid w:val="3CA00257"/>
    <w:multiLevelType w:val="multilevel"/>
    <w:tmpl w:val="3CA0025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78594E96"/>
    <w:multiLevelType w:val="multilevel"/>
    <w:tmpl w:val="78594E96"/>
    <w:lvl w:ilvl="0" w:tentative="0">
      <w:start w:val="1"/>
      <w:numFmt w:val="decimal"/>
      <w:pStyle w:val="14"/>
      <w:lvlText w:val="%1"/>
      <w:lvlJc w:val="left"/>
      <w:pPr>
        <w:tabs>
          <w:tab w:val="left" w:pos="357"/>
        </w:tabs>
        <w:ind w:left="357" w:hanging="357"/>
      </w:pPr>
      <w:rPr>
        <w:rFonts w:hint="default"/>
      </w:rPr>
    </w:lvl>
    <w:lvl w:ilvl="1" w:tentative="0">
      <w:start w:val="1"/>
      <w:numFmt w:val="lowerLetter"/>
      <w:pStyle w:val="13"/>
      <w:lvlText w:val="%2"/>
      <w:lvlJc w:val="left"/>
      <w:pPr>
        <w:tabs>
          <w:tab w:val="left" w:pos="714"/>
        </w:tabs>
        <w:ind w:left="714" w:hanging="357"/>
      </w:pPr>
      <w:rPr>
        <w:rFonts w:hint="default"/>
      </w:rPr>
    </w:lvl>
    <w:lvl w:ilvl="2" w:tentative="0">
      <w:start w:val="1"/>
      <w:numFmt w:val="lowerRoman"/>
      <w:pStyle w:val="16"/>
      <w:lvlText w:val="%3"/>
      <w:lvlJc w:val="left"/>
      <w:pPr>
        <w:tabs>
          <w:tab w:val="left" w:pos="1072"/>
        </w:tabs>
        <w:ind w:left="1072" w:hanging="358"/>
      </w:pPr>
      <w:rPr>
        <w:rFonts w:hint="default"/>
      </w:rPr>
    </w:lvl>
    <w:lvl w:ilvl="3" w:tentative="0">
      <w:start w:val="1"/>
      <w:numFmt w:val="decimal"/>
      <w:lvlText w:val="%1.%2.%3.%4"/>
      <w:lvlJc w:val="right"/>
      <w:pPr>
        <w:tabs>
          <w:tab w:val="left" w:pos="3969"/>
        </w:tabs>
        <w:ind w:left="3969" w:hanging="1361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characterSpacingControl w:val="doNotCompress"/>
  <w:footnotePr>
    <w:footnote w:id="2"/>
    <w:footnote w:id="3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MjQ0OTg2ZDNkMGY0ODkxYjk0ZTM4MzIwNjY2MjAifQ=="/>
    <w:docVar w:name="dv_designation" w:val="Chartered Accountants"/>
    <w:docVar w:name="dv_logo_file" w:val="D:\Users\administrator\AppData\Roaming\Microsoft\Templates\GTlogo-RGB9mm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8827B7"/>
    <w:rsid w:val="00010930"/>
    <w:rsid w:val="000225DF"/>
    <w:rsid w:val="00024FF7"/>
    <w:rsid w:val="00027651"/>
    <w:rsid w:val="000319DB"/>
    <w:rsid w:val="00036565"/>
    <w:rsid w:val="00047832"/>
    <w:rsid w:val="00051A00"/>
    <w:rsid w:val="00052C68"/>
    <w:rsid w:val="00065F20"/>
    <w:rsid w:val="000701DD"/>
    <w:rsid w:val="0007782C"/>
    <w:rsid w:val="00084718"/>
    <w:rsid w:val="000963F9"/>
    <w:rsid w:val="000A4BAF"/>
    <w:rsid w:val="000A68FB"/>
    <w:rsid w:val="000B0ED9"/>
    <w:rsid w:val="000B26C9"/>
    <w:rsid w:val="000B475C"/>
    <w:rsid w:val="000C1BD5"/>
    <w:rsid w:val="000C6F3A"/>
    <w:rsid w:val="000D06D5"/>
    <w:rsid w:val="000D618C"/>
    <w:rsid w:val="000E05DA"/>
    <w:rsid w:val="000F0140"/>
    <w:rsid w:val="000F4735"/>
    <w:rsid w:val="001048C2"/>
    <w:rsid w:val="00107A08"/>
    <w:rsid w:val="00116ABE"/>
    <w:rsid w:val="00131398"/>
    <w:rsid w:val="00145CBA"/>
    <w:rsid w:val="00150A84"/>
    <w:rsid w:val="00156455"/>
    <w:rsid w:val="001639FF"/>
    <w:rsid w:val="00170523"/>
    <w:rsid w:val="00174D07"/>
    <w:rsid w:val="00185C02"/>
    <w:rsid w:val="001878B4"/>
    <w:rsid w:val="001A158B"/>
    <w:rsid w:val="001A613C"/>
    <w:rsid w:val="001D1A4F"/>
    <w:rsid w:val="001D4ECE"/>
    <w:rsid w:val="001F40DE"/>
    <w:rsid w:val="00200177"/>
    <w:rsid w:val="00215284"/>
    <w:rsid w:val="002212D1"/>
    <w:rsid w:val="00226BC8"/>
    <w:rsid w:val="00235987"/>
    <w:rsid w:val="00243561"/>
    <w:rsid w:val="00246683"/>
    <w:rsid w:val="002479AB"/>
    <w:rsid w:val="00253326"/>
    <w:rsid w:val="0026559B"/>
    <w:rsid w:val="00291130"/>
    <w:rsid w:val="002A2103"/>
    <w:rsid w:val="002A2778"/>
    <w:rsid w:val="002A3D40"/>
    <w:rsid w:val="002A718C"/>
    <w:rsid w:val="002B6ABC"/>
    <w:rsid w:val="002D0357"/>
    <w:rsid w:val="002D2F38"/>
    <w:rsid w:val="002E2911"/>
    <w:rsid w:val="002F6B24"/>
    <w:rsid w:val="00304922"/>
    <w:rsid w:val="0030747B"/>
    <w:rsid w:val="00320D93"/>
    <w:rsid w:val="003257A9"/>
    <w:rsid w:val="00327CD1"/>
    <w:rsid w:val="00331807"/>
    <w:rsid w:val="003326D5"/>
    <w:rsid w:val="00334505"/>
    <w:rsid w:val="00334FDE"/>
    <w:rsid w:val="003378B3"/>
    <w:rsid w:val="003745FE"/>
    <w:rsid w:val="00377BC2"/>
    <w:rsid w:val="00387218"/>
    <w:rsid w:val="0039035C"/>
    <w:rsid w:val="00390D86"/>
    <w:rsid w:val="003A6A2B"/>
    <w:rsid w:val="003B16BA"/>
    <w:rsid w:val="003B2702"/>
    <w:rsid w:val="003D5290"/>
    <w:rsid w:val="003D7EE5"/>
    <w:rsid w:val="00413761"/>
    <w:rsid w:val="00416571"/>
    <w:rsid w:val="00417D45"/>
    <w:rsid w:val="00426B2E"/>
    <w:rsid w:val="004456DD"/>
    <w:rsid w:val="004478E4"/>
    <w:rsid w:val="00452223"/>
    <w:rsid w:val="00452606"/>
    <w:rsid w:val="00470A46"/>
    <w:rsid w:val="004863D0"/>
    <w:rsid w:val="004C02B3"/>
    <w:rsid w:val="004C2F65"/>
    <w:rsid w:val="004C3BDF"/>
    <w:rsid w:val="004C6D6A"/>
    <w:rsid w:val="004D6B91"/>
    <w:rsid w:val="004E6095"/>
    <w:rsid w:val="004E6804"/>
    <w:rsid w:val="004F113E"/>
    <w:rsid w:val="00500699"/>
    <w:rsid w:val="00503485"/>
    <w:rsid w:val="00506954"/>
    <w:rsid w:val="00507AF3"/>
    <w:rsid w:val="005220CB"/>
    <w:rsid w:val="00537847"/>
    <w:rsid w:val="005422D2"/>
    <w:rsid w:val="00553CA8"/>
    <w:rsid w:val="00556308"/>
    <w:rsid w:val="00565B6E"/>
    <w:rsid w:val="005713AD"/>
    <w:rsid w:val="00571501"/>
    <w:rsid w:val="005807C6"/>
    <w:rsid w:val="00580EDE"/>
    <w:rsid w:val="0058692F"/>
    <w:rsid w:val="00596422"/>
    <w:rsid w:val="005A2AA7"/>
    <w:rsid w:val="005A2D44"/>
    <w:rsid w:val="005B107C"/>
    <w:rsid w:val="005C01A8"/>
    <w:rsid w:val="005C61F1"/>
    <w:rsid w:val="005E1D3A"/>
    <w:rsid w:val="005E278A"/>
    <w:rsid w:val="005E4EF5"/>
    <w:rsid w:val="005F575C"/>
    <w:rsid w:val="005F7CD0"/>
    <w:rsid w:val="0060531B"/>
    <w:rsid w:val="00610ED7"/>
    <w:rsid w:val="00621FC6"/>
    <w:rsid w:val="006237C8"/>
    <w:rsid w:val="00635CE5"/>
    <w:rsid w:val="006360C6"/>
    <w:rsid w:val="00642404"/>
    <w:rsid w:val="006477D9"/>
    <w:rsid w:val="0065378B"/>
    <w:rsid w:val="00654DC1"/>
    <w:rsid w:val="006550CA"/>
    <w:rsid w:val="00657FEC"/>
    <w:rsid w:val="006624AA"/>
    <w:rsid w:val="00665128"/>
    <w:rsid w:val="006661DB"/>
    <w:rsid w:val="0067352F"/>
    <w:rsid w:val="00695C81"/>
    <w:rsid w:val="006A72A4"/>
    <w:rsid w:val="006D75F0"/>
    <w:rsid w:val="006E64FC"/>
    <w:rsid w:val="006F016B"/>
    <w:rsid w:val="00705991"/>
    <w:rsid w:val="00726EDD"/>
    <w:rsid w:val="00727960"/>
    <w:rsid w:val="00753038"/>
    <w:rsid w:val="00760AE9"/>
    <w:rsid w:val="00760EC0"/>
    <w:rsid w:val="007618B5"/>
    <w:rsid w:val="007702F7"/>
    <w:rsid w:val="00775A7B"/>
    <w:rsid w:val="00783F5A"/>
    <w:rsid w:val="007856A9"/>
    <w:rsid w:val="00793214"/>
    <w:rsid w:val="007A0569"/>
    <w:rsid w:val="007A294A"/>
    <w:rsid w:val="007B1E37"/>
    <w:rsid w:val="007B27A6"/>
    <w:rsid w:val="007C1BDB"/>
    <w:rsid w:val="007E66D0"/>
    <w:rsid w:val="007F62D7"/>
    <w:rsid w:val="007F63A9"/>
    <w:rsid w:val="00812F8E"/>
    <w:rsid w:val="00813F04"/>
    <w:rsid w:val="00814D12"/>
    <w:rsid w:val="008314F7"/>
    <w:rsid w:val="0083177B"/>
    <w:rsid w:val="00846193"/>
    <w:rsid w:val="00851A1A"/>
    <w:rsid w:val="00851AA1"/>
    <w:rsid w:val="00866AAB"/>
    <w:rsid w:val="00867DA5"/>
    <w:rsid w:val="008827B7"/>
    <w:rsid w:val="00897AB5"/>
    <w:rsid w:val="008A16B7"/>
    <w:rsid w:val="008B43B9"/>
    <w:rsid w:val="008C209A"/>
    <w:rsid w:val="008C66AA"/>
    <w:rsid w:val="008F6165"/>
    <w:rsid w:val="009035D7"/>
    <w:rsid w:val="009060D1"/>
    <w:rsid w:val="009072ED"/>
    <w:rsid w:val="009179CC"/>
    <w:rsid w:val="009249C9"/>
    <w:rsid w:val="00924FDB"/>
    <w:rsid w:val="009261A6"/>
    <w:rsid w:val="00932AD9"/>
    <w:rsid w:val="00942A76"/>
    <w:rsid w:val="00962B8D"/>
    <w:rsid w:val="00965F67"/>
    <w:rsid w:val="00967FF5"/>
    <w:rsid w:val="009816B3"/>
    <w:rsid w:val="009850C4"/>
    <w:rsid w:val="00993FD7"/>
    <w:rsid w:val="009A36B0"/>
    <w:rsid w:val="009A6E18"/>
    <w:rsid w:val="009B46B0"/>
    <w:rsid w:val="009C1034"/>
    <w:rsid w:val="009C283F"/>
    <w:rsid w:val="009C3882"/>
    <w:rsid w:val="009C579D"/>
    <w:rsid w:val="009D3253"/>
    <w:rsid w:val="009E3A33"/>
    <w:rsid w:val="009E6EF3"/>
    <w:rsid w:val="009E7B56"/>
    <w:rsid w:val="009F40DC"/>
    <w:rsid w:val="00A111C5"/>
    <w:rsid w:val="00A314E7"/>
    <w:rsid w:val="00A345D0"/>
    <w:rsid w:val="00A50491"/>
    <w:rsid w:val="00A50B72"/>
    <w:rsid w:val="00A660D1"/>
    <w:rsid w:val="00A768E8"/>
    <w:rsid w:val="00A86935"/>
    <w:rsid w:val="00A924C3"/>
    <w:rsid w:val="00AA27C0"/>
    <w:rsid w:val="00AA39CE"/>
    <w:rsid w:val="00AB72EC"/>
    <w:rsid w:val="00AC31ED"/>
    <w:rsid w:val="00AC3EC8"/>
    <w:rsid w:val="00AC6748"/>
    <w:rsid w:val="00AD053A"/>
    <w:rsid w:val="00AD14A0"/>
    <w:rsid w:val="00AD452F"/>
    <w:rsid w:val="00AD7D97"/>
    <w:rsid w:val="00AE0C7E"/>
    <w:rsid w:val="00AE78BC"/>
    <w:rsid w:val="00B035A1"/>
    <w:rsid w:val="00B219F9"/>
    <w:rsid w:val="00B33EA0"/>
    <w:rsid w:val="00B35DE8"/>
    <w:rsid w:val="00B62D48"/>
    <w:rsid w:val="00BA5215"/>
    <w:rsid w:val="00BA5D53"/>
    <w:rsid w:val="00BB1F43"/>
    <w:rsid w:val="00BB3FBB"/>
    <w:rsid w:val="00BD3500"/>
    <w:rsid w:val="00BE1BA2"/>
    <w:rsid w:val="00BF23C5"/>
    <w:rsid w:val="00C007BF"/>
    <w:rsid w:val="00C0668B"/>
    <w:rsid w:val="00C100A6"/>
    <w:rsid w:val="00C1518F"/>
    <w:rsid w:val="00C1606F"/>
    <w:rsid w:val="00C22727"/>
    <w:rsid w:val="00C305E3"/>
    <w:rsid w:val="00C30983"/>
    <w:rsid w:val="00C37C1F"/>
    <w:rsid w:val="00C47E18"/>
    <w:rsid w:val="00C512BC"/>
    <w:rsid w:val="00C54674"/>
    <w:rsid w:val="00C57A53"/>
    <w:rsid w:val="00C601E3"/>
    <w:rsid w:val="00C73F93"/>
    <w:rsid w:val="00C77DE6"/>
    <w:rsid w:val="00C80A81"/>
    <w:rsid w:val="00C81236"/>
    <w:rsid w:val="00C851F7"/>
    <w:rsid w:val="00C90E4A"/>
    <w:rsid w:val="00C925AA"/>
    <w:rsid w:val="00C964FD"/>
    <w:rsid w:val="00CA280E"/>
    <w:rsid w:val="00CA7C1B"/>
    <w:rsid w:val="00CC46DE"/>
    <w:rsid w:val="00CD7E95"/>
    <w:rsid w:val="00CE47B3"/>
    <w:rsid w:val="00CF076A"/>
    <w:rsid w:val="00CF164B"/>
    <w:rsid w:val="00D151BD"/>
    <w:rsid w:val="00D17968"/>
    <w:rsid w:val="00D26657"/>
    <w:rsid w:val="00D27833"/>
    <w:rsid w:val="00D41D52"/>
    <w:rsid w:val="00D52043"/>
    <w:rsid w:val="00D53E5D"/>
    <w:rsid w:val="00D61EBD"/>
    <w:rsid w:val="00D64BAE"/>
    <w:rsid w:val="00D65650"/>
    <w:rsid w:val="00D73DE6"/>
    <w:rsid w:val="00D75685"/>
    <w:rsid w:val="00D764E5"/>
    <w:rsid w:val="00D87FFC"/>
    <w:rsid w:val="00D92CF9"/>
    <w:rsid w:val="00D92F44"/>
    <w:rsid w:val="00D94C84"/>
    <w:rsid w:val="00D9732D"/>
    <w:rsid w:val="00DA3CDE"/>
    <w:rsid w:val="00DA7987"/>
    <w:rsid w:val="00DC1825"/>
    <w:rsid w:val="00DC2A79"/>
    <w:rsid w:val="00DC75B2"/>
    <w:rsid w:val="00DE2C37"/>
    <w:rsid w:val="00DE799D"/>
    <w:rsid w:val="00E0428A"/>
    <w:rsid w:val="00E05438"/>
    <w:rsid w:val="00E15DE9"/>
    <w:rsid w:val="00E25946"/>
    <w:rsid w:val="00E26CA9"/>
    <w:rsid w:val="00E413AF"/>
    <w:rsid w:val="00E52222"/>
    <w:rsid w:val="00E53227"/>
    <w:rsid w:val="00E54827"/>
    <w:rsid w:val="00E62DFD"/>
    <w:rsid w:val="00E630EA"/>
    <w:rsid w:val="00E64660"/>
    <w:rsid w:val="00E71CC8"/>
    <w:rsid w:val="00E76712"/>
    <w:rsid w:val="00E84DEC"/>
    <w:rsid w:val="00E90A74"/>
    <w:rsid w:val="00E93D00"/>
    <w:rsid w:val="00E9784E"/>
    <w:rsid w:val="00EA4301"/>
    <w:rsid w:val="00EB3E99"/>
    <w:rsid w:val="00EC7AF2"/>
    <w:rsid w:val="00ED0E2A"/>
    <w:rsid w:val="00EE07EA"/>
    <w:rsid w:val="00EE4B40"/>
    <w:rsid w:val="00EF098C"/>
    <w:rsid w:val="00F04BDC"/>
    <w:rsid w:val="00F055AF"/>
    <w:rsid w:val="00F22122"/>
    <w:rsid w:val="00F226AB"/>
    <w:rsid w:val="00F2527E"/>
    <w:rsid w:val="00F50BBB"/>
    <w:rsid w:val="00F536C6"/>
    <w:rsid w:val="00F641F1"/>
    <w:rsid w:val="00F72D14"/>
    <w:rsid w:val="00F7669E"/>
    <w:rsid w:val="00F84DBF"/>
    <w:rsid w:val="00FA2162"/>
    <w:rsid w:val="00FA225C"/>
    <w:rsid w:val="00FA3117"/>
    <w:rsid w:val="00FA68B5"/>
    <w:rsid w:val="00FB5C2C"/>
    <w:rsid w:val="00FD1FB8"/>
    <w:rsid w:val="00FD5043"/>
    <w:rsid w:val="00FE1702"/>
    <w:rsid w:val="00FE6F20"/>
    <w:rsid w:val="00FF3653"/>
    <w:rsid w:val="44C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uiPriority="0" w:name="annotation text"/>
    <w:lsdException w:unhideWhenUsed="0" w:uiPriority="0" w:name="header"/>
    <w:lsdException w:qFormat="1" w:unhideWhenUsed="0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qFormat="1" w:unhideWhenUsed="0"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Garamond" w:hAnsi="Garamond" w:eastAsia="PMingLiU" w:cs="Arial"/>
      <w:sz w:val="22"/>
      <w:lang w:val="en-GB" w:eastAsia="en-US" w:bidi="ar-SA"/>
    </w:rPr>
  </w:style>
  <w:style w:type="paragraph" w:styleId="3">
    <w:name w:val="heading 1"/>
    <w:basedOn w:val="1"/>
    <w:next w:val="4"/>
    <w:qFormat/>
    <w:uiPriority w:val="0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5">
    <w:name w:val="heading 2"/>
    <w:basedOn w:val="3"/>
    <w:next w:val="4"/>
    <w:qFormat/>
    <w:uiPriority w:val="0"/>
    <w:pPr>
      <w:outlineLvl w:val="1"/>
    </w:pPr>
    <w:rPr>
      <w:bCs w:val="0"/>
      <w:color w:val="auto"/>
      <w:szCs w:val="24"/>
    </w:rPr>
  </w:style>
  <w:style w:type="paragraph" w:styleId="6">
    <w:name w:val="heading 3"/>
    <w:basedOn w:val="5"/>
    <w:next w:val="4"/>
    <w:qFormat/>
    <w:uiPriority w:val="0"/>
    <w:pPr>
      <w:outlineLvl w:val="2"/>
    </w:pPr>
    <w:rPr>
      <w:rFonts w:ascii="Arial" w:hAnsi="Arial"/>
      <w:bCs/>
      <w:szCs w:val="22"/>
    </w:rPr>
  </w:style>
  <w:style w:type="paragraph" w:styleId="7">
    <w:name w:val="heading 4"/>
    <w:basedOn w:val="6"/>
    <w:next w:val="4"/>
    <w:qFormat/>
    <w:uiPriority w:val="0"/>
    <w:pPr>
      <w:outlineLvl w:val="3"/>
    </w:pPr>
    <w:rPr>
      <w:bCs w:val="0"/>
      <w:i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PMingLiU" w:cs="Courier New"/>
      <w:lang w:val="en-GB" w:eastAsia="en-US" w:bidi="ar-SA"/>
    </w:rPr>
  </w:style>
  <w:style w:type="paragraph" w:styleId="4">
    <w:name w:val="Body Text"/>
    <w:basedOn w:val="1"/>
    <w:qFormat/>
    <w:uiPriority w:val="0"/>
    <w:pPr>
      <w:spacing w:after="284" w:line="280" w:lineRule="atLeast"/>
    </w:pPr>
  </w:style>
  <w:style w:type="paragraph" w:styleId="13">
    <w:name w:val="List Number 2"/>
    <w:basedOn w:val="1"/>
    <w:uiPriority w:val="0"/>
    <w:pPr>
      <w:numPr>
        <w:ilvl w:val="1"/>
        <w:numId w:val="2"/>
      </w:numPr>
      <w:spacing w:after="284" w:line="280" w:lineRule="atLeast"/>
    </w:pPr>
  </w:style>
  <w:style w:type="paragraph" w:styleId="14">
    <w:name w:val="List Number"/>
    <w:basedOn w:val="1"/>
    <w:qFormat/>
    <w:uiPriority w:val="0"/>
    <w:pPr>
      <w:numPr>
        <w:ilvl w:val="0"/>
        <w:numId w:val="2"/>
      </w:numPr>
      <w:spacing w:after="284" w:line="280" w:lineRule="atLeast"/>
    </w:pPr>
  </w:style>
  <w:style w:type="paragraph" w:styleId="15">
    <w:name w:val="List Bullet"/>
    <w:basedOn w:val="1"/>
    <w:link w:val="33"/>
    <w:qFormat/>
    <w:uiPriority w:val="0"/>
    <w:pPr>
      <w:numPr>
        <w:ilvl w:val="0"/>
        <w:numId w:val="3"/>
      </w:numPr>
      <w:spacing w:after="20" w:line="280" w:lineRule="atLeast"/>
    </w:pPr>
  </w:style>
  <w:style w:type="paragraph" w:styleId="16">
    <w:name w:val="List Number 3"/>
    <w:basedOn w:val="1"/>
    <w:qFormat/>
    <w:uiPriority w:val="0"/>
    <w:pPr>
      <w:numPr>
        <w:ilvl w:val="2"/>
        <w:numId w:val="2"/>
      </w:numPr>
      <w:spacing w:after="284" w:line="280" w:lineRule="atLeast"/>
    </w:pPr>
  </w:style>
  <w:style w:type="paragraph" w:styleId="17">
    <w:name w:val="List Bullet 2"/>
    <w:basedOn w:val="1"/>
    <w:qFormat/>
    <w:uiPriority w:val="0"/>
    <w:pPr>
      <w:numPr>
        <w:ilvl w:val="1"/>
        <w:numId w:val="3"/>
      </w:numPr>
      <w:spacing w:after="20" w:line="260" w:lineRule="atLeast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pos="8505"/>
      </w:tabs>
      <w:ind w:left="403"/>
    </w:pPr>
  </w:style>
  <w:style w:type="paragraph" w:styleId="19">
    <w:name w:val="toc 2"/>
    <w:next w:val="1"/>
    <w:semiHidden/>
    <w:qFormat/>
    <w:uiPriority w:val="0"/>
    <w:pPr>
      <w:tabs>
        <w:tab w:val="right" w:pos="8505"/>
      </w:tabs>
      <w:spacing w:after="100"/>
      <w:ind w:left="198"/>
    </w:pPr>
    <w:rPr>
      <w:rFonts w:ascii="Arial" w:hAnsi="Arial" w:eastAsia="PMingLiU" w:cs="Arial"/>
      <w:sz w:val="19"/>
      <w:szCs w:val="24"/>
      <w:lang w:val="en-GB" w:eastAsia="en-US" w:bidi="ar-SA"/>
    </w:rPr>
  </w:style>
  <w:style w:type="paragraph" w:styleId="20">
    <w:name w:val="Balloon Text"/>
    <w:basedOn w:val="1"/>
    <w:link w:val="62"/>
    <w:qFormat/>
    <w:uiPriority w:val="0"/>
    <w:rPr>
      <w:rFonts w:ascii="Tahoma" w:hAnsi="Tahoma" w:cs="Tahoma"/>
      <w:sz w:val="16"/>
      <w:szCs w:val="16"/>
    </w:rPr>
  </w:style>
  <w:style w:type="paragraph" w:styleId="21">
    <w:name w:val="footer"/>
    <w:link w:val="65"/>
    <w:semiHidden/>
    <w:qFormat/>
    <w:uiPriority w:val="0"/>
    <w:pPr>
      <w:tabs>
        <w:tab w:val="center" w:pos="4153"/>
        <w:tab w:val="right" w:pos="8306"/>
      </w:tabs>
    </w:pPr>
    <w:rPr>
      <w:rFonts w:ascii="Arial" w:hAnsi="Arial" w:eastAsia="PMingLiU" w:cs="Arial"/>
      <w:b/>
      <w:color w:val="747678"/>
      <w:sz w:val="13"/>
      <w:lang w:val="en-GB" w:eastAsia="en-US" w:bidi="ar-SA"/>
    </w:rPr>
  </w:style>
  <w:style w:type="paragraph" w:styleId="22">
    <w:name w:val="header"/>
    <w:semiHidden/>
    <w:uiPriority w:val="0"/>
    <w:pPr>
      <w:tabs>
        <w:tab w:val="right" w:pos="8562"/>
      </w:tabs>
    </w:pPr>
    <w:rPr>
      <w:rFonts w:ascii="Arial" w:hAnsi="Arial" w:eastAsia="PMingLiU" w:cs="Arial"/>
      <w:b/>
      <w:color w:val="747678"/>
      <w:sz w:val="16"/>
      <w:lang w:val="en-GB" w:eastAsia="en-US" w:bidi="ar-SA"/>
    </w:rPr>
  </w:style>
  <w:style w:type="paragraph" w:styleId="23">
    <w:name w:val="toc 1"/>
    <w:next w:val="1"/>
    <w:semiHidden/>
    <w:qFormat/>
    <w:uiPriority w:val="0"/>
    <w:pPr>
      <w:tabs>
        <w:tab w:val="right" w:pos="8505"/>
      </w:tabs>
      <w:spacing w:before="165" w:after="100"/>
    </w:pPr>
    <w:rPr>
      <w:rFonts w:ascii="Arial" w:hAnsi="Arial" w:eastAsia="PMingLiU" w:cs="Arial"/>
      <w:sz w:val="19"/>
      <w:lang w:val="en-GB" w:eastAsia="en-US" w:bidi="ar-SA"/>
    </w:rPr>
  </w:style>
  <w:style w:type="paragraph" w:styleId="24">
    <w:name w:val="Subtitle"/>
    <w:qFormat/>
    <w:uiPriority w:val="0"/>
    <w:pPr>
      <w:spacing w:line="280" w:lineRule="atLeast"/>
      <w:outlineLvl w:val="1"/>
    </w:pPr>
    <w:rPr>
      <w:rFonts w:ascii="Arial" w:hAnsi="Arial" w:eastAsia="PMingLiU" w:cs="Arial"/>
      <w:bCs/>
      <w:kern w:val="28"/>
      <w:sz w:val="24"/>
      <w:szCs w:val="24"/>
      <w:lang w:val="en-GB" w:eastAsia="en-US" w:bidi="ar-SA"/>
    </w:rPr>
  </w:style>
  <w:style w:type="paragraph" w:styleId="25">
    <w:name w:val="footnote text"/>
    <w:basedOn w:val="1"/>
    <w:link w:val="66"/>
    <w:semiHidden/>
    <w:unhideWhenUsed/>
    <w:qFormat/>
    <w:uiPriority w:val="0"/>
    <w:rPr>
      <w:sz w:val="20"/>
    </w:rPr>
  </w:style>
  <w:style w:type="paragraph" w:styleId="26">
    <w:name w:val="Title"/>
    <w:basedOn w:val="1"/>
    <w:next w:val="4"/>
    <w:qFormat/>
    <w:uiPriority w:val="0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basedOn w:val="29"/>
    <w:semiHidden/>
    <w:qFormat/>
    <w:uiPriority w:val="0"/>
  </w:style>
  <w:style w:type="character" w:styleId="31">
    <w:name w:val="Hyperlink"/>
    <w:basedOn w:val="29"/>
    <w:qFormat/>
    <w:uiPriority w:val="0"/>
    <w:rPr>
      <w:color w:val="0000FF"/>
      <w:u w:val="single"/>
    </w:rPr>
  </w:style>
  <w:style w:type="character" w:styleId="32">
    <w:name w:val="footnote reference"/>
    <w:basedOn w:val="29"/>
    <w:semiHidden/>
    <w:unhideWhenUsed/>
    <w:qFormat/>
    <w:uiPriority w:val="0"/>
    <w:rPr>
      <w:vertAlign w:val="superscript"/>
    </w:rPr>
  </w:style>
  <w:style w:type="character" w:customStyle="1" w:styleId="33">
    <w:name w:val="項目符號 字元"/>
    <w:basedOn w:val="29"/>
    <w:link w:val="15"/>
    <w:qFormat/>
    <w:uiPriority w:val="0"/>
    <w:rPr>
      <w:rFonts w:ascii="Garamond" w:hAnsi="Garamond" w:cs="Arial"/>
      <w:sz w:val="22"/>
      <w:lang w:eastAsia="en-US" w:bidi="ar-SA"/>
    </w:rPr>
  </w:style>
  <w:style w:type="paragraph" w:customStyle="1" w:styleId="34">
    <w:name w:val="Paragraph Bullet"/>
    <w:basedOn w:val="1"/>
    <w:qFormat/>
    <w:uiPriority w:val="0"/>
    <w:pPr>
      <w:numPr>
        <w:ilvl w:val="0"/>
        <w:numId w:val="4"/>
      </w:numPr>
      <w:spacing w:after="284" w:line="280" w:lineRule="atLeast"/>
    </w:pPr>
  </w:style>
  <w:style w:type="paragraph" w:customStyle="1" w:styleId="35">
    <w:name w:val="Margin Notes"/>
    <w:uiPriority w:val="0"/>
    <w:rPr>
      <w:rFonts w:ascii="Arial" w:hAnsi="Arial" w:eastAsia="PMingLiU" w:cs="Arial"/>
      <w:sz w:val="16"/>
      <w:lang w:val="en-GB" w:eastAsia="en-US" w:bidi="ar-SA"/>
    </w:rPr>
  </w:style>
  <w:style w:type="paragraph" w:customStyle="1" w:styleId="36">
    <w:name w:val="Table Heading"/>
    <w:uiPriority w:val="0"/>
    <w:rPr>
      <w:rFonts w:ascii="Arial" w:hAnsi="Arial" w:eastAsia="PMingLiU" w:cs="Arial"/>
      <w:b/>
      <w:bCs/>
      <w:kern w:val="28"/>
      <w:sz w:val="16"/>
      <w:szCs w:val="32"/>
      <w:lang w:val="en-GB" w:eastAsia="en-US" w:bidi="ar-SA"/>
    </w:rPr>
  </w:style>
  <w:style w:type="paragraph" w:customStyle="1" w:styleId="37">
    <w:name w:val="Table Text"/>
    <w:qFormat/>
    <w:uiPriority w:val="0"/>
    <w:rPr>
      <w:rFonts w:ascii="Arial" w:hAnsi="Arial" w:eastAsia="PMingLiU" w:cs="Arial"/>
      <w:sz w:val="16"/>
      <w:lang w:val="en-GB" w:eastAsia="en-US" w:bidi="ar-SA"/>
    </w:rPr>
  </w:style>
  <w:style w:type="paragraph" w:customStyle="1" w:styleId="38">
    <w:name w:val="Tint Box Text Black"/>
    <w:qFormat/>
    <w:uiPriority w:val="0"/>
    <w:pPr>
      <w:spacing w:after="280" w:line="280" w:lineRule="atLeast"/>
    </w:pPr>
    <w:rPr>
      <w:rFonts w:ascii="Arial" w:hAnsi="Arial" w:eastAsia="PMingLiU" w:cs="Arial"/>
      <w:b/>
      <w:lang w:val="en-GB" w:eastAsia="en-US" w:bidi="ar-SA"/>
    </w:rPr>
  </w:style>
  <w:style w:type="paragraph" w:customStyle="1" w:styleId="39">
    <w:name w:val="Tint Box Text White"/>
    <w:basedOn w:val="38"/>
    <w:uiPriority w:val="0"/>
    <w:rPr>
      <w:color w:val="FFFFFF"/>
    </w:rPr>
  </w:style>
  <w:style w:type="paragraph" w:customStyle="1" w:styleId="40">
    <w:name w:val="Reference Title"/>
    <w:next w:val="41"/>
    <w:qFormat/>
    <w:uiPriority w:val="0"/>
    <w:rPr>
      <w:rFonts w:ascii="Arial Black" w:hAnsi="Arial Black" w:eastAsia="PMingLiU" w:cs="Arial"/>
      <w:kern w:val="32"/>
      <w:sz w:val="18"/>
      <w:szCs w:val="24"/>
      <w:lang w:val="en-GB" w:eastAsia="en-US" w:bidi="ar-SA"/>
    </w:rPr>
  </w:style>
  <w:style w:type="paragraph" w:customStyle="1" w:styleId="41">
    <w:name w:val="Reference Text"/>
    <w:qFormat/>
    <w:uiPriority w:val="0"/>
    <w:rPr>
      <w:rFonts w:ascii="Arial" w:hAnsi="Arial" w:eastAsia="PMingLiU" w:cs="Arial"/>
      <w:kern w:val="32"/>
      <w:sz w:val="18"/>
      <w:szCs w:val="24"/>
      <w:lang w:val="en-GB" w:eastAsia="en-US" w:bidi="ar-SA"/>
    </w:rPr>
  </w:style>
  <w:style w:type="paragraph" w:customStyle="1" w:styleId="42">
    <w:name w:val="Trading Name"/>
    <w:semiHidden/>
    <w:qFormat/>
    <w:uiPriority w:val="0"/>
    <w:pPr>
      <w:spacing w:line="180" w:lineRule="atLeast"/>
    </w:pPr>
    <w:rPr>
      <w:rFonts w:ascii="Arial Narrow" w:hAnsi="Arial Narrow" w:eastAsia="PMingLiU" w:cs="Arial"/>
      <w:b/>
      <w:sz w:val="14"/>
      <w:lang w:val="en-GB" w:eastAsia="en-US" w:bidi="ar-SA"/>
    </w:rPr>
  </w:style>
  <w:style w:type="paragraph" w:customStyle="1" w:styleId="43">
    <w:name w:val="Partner Address"/>
    <w:semiHidden/>
    <w:qFormat/>
    <w:uiPriority w:val="0"/>
    <w:rPr>
      <w:rFonts w:ascii="Arial Narrow" w:hAnsi="Arial Narrow" w:eastAsia="PMingLiU" w:cs="Arial"/>
      <w:sz w:val="14"/>
      <w:lang w:val="en-GB" w:eastAsia="en-US" w:bidi="ar-SA"/>
    </w:rPr>
  </w:style>
  <w:style w:type="paragraph" w:customStyle="1" w:styleId="44">
    <w:name w:val="Half Line Break"/>
    <w:semiHidden/>
    <w:qFormat/>
    <w:uiPriority w:val="0"/>
    <w:pPr>
      <w:framePr w:wrap="around" w:vAnchor="page" w:hAnchor="page" w:x="9016" w:y="3970"/>
      <w:suppressOverlap/>
    </w:pPr>
    <w:rPr>
      <w:rFonts w:ascii="Arial Narrow" w:hAnsi="Arial Narrow" w:eastAsia="PMingLiU" w:cs="Arial"/>
      <w:b/>
      <w:sz w:val="7"/>
      <w:lang w:val="en-GB" w:eastAsia="en-US" w:bidi="ar-SA"/>
    </w:rPr>
  </w:style>
  <w:style w:type="paragraph" w:customStyle="1" w:styleId="45">
    <w:name w:val="Letter Footer"/>
    <w:semiHidden/>
    <w:uiPriority w:val="0"/>
    <w:pPr>
      <w:spacing w:line="140" w:lineRule="atLeast"/>
    </w:pPr>
    <w:rPr>
      <w:rFonts w:ascii="Arial Narrow" w:hAnsi="Arial Narrow" w:eastAsia="PMingLiU" w:cs="Arial"/>
      <w:sz w:val="11"/>
      <w:lang w:val="en-GB" w:eastAsia="en-US" w:bidi="ar-SA"/>
    </w:rPr>
  </w:style>
  <w:style w:type="paragraph" w:customStyle="1" w:styleId="46">
    <w:name w:val="Letter Footer Title"/>
    <w:next w:val="45"/>
    <w:semiHidden/>
    <w:uiPriority w:val="0"/>
    <w:pPr>
      <w:spacing w:line="140" w:lineRule="atLeast"/>
    </w:pPr>
    <w:rPr>
      <w:rFonts w:ascii="Arial Narrow" w:hAnsi="Arial Narrow" w:eastAsia="PMingLiU" w:cs="Arial"/>
      <w:b/>
      <w:sz w:val="11"/>
      <w:lang w:val="en-GB" w:eastAsia="en-US" w:bidi="ar-SA"/>
    </w:rPr>
  </w:style>
  <w:style w:type="paragraph" w:customStyle="1" w:styleId="47">
    <w:name w:val="Landscape Header"/>
    <w:basedOn w:val="22"/>
    <w:semiHidden/>
    <w:qFormat/>
    <w:uiPriority w:val="0"/>
    <w:pPr>
      <w:tabs>
        <w:tab w:val="right" w:pos="13438"/>
        <w:tab w:val="clear" w:pos="8562"/>
      </w:tabs>
    </w:pPr>
  </w:style>
  <w:style w:type="paragraph" w:customStyle="1" w:styleId="48">
    <w:name w:val="CV Title"/>
    <w:next w:val="1"/>
    <w:qFormat/>
    <w:uiPriority w:val="0"/>
    <w:rPr>
      <w:rFonts w:ascii="Garamond" w:hAnsi="Garamond" w:eastAsia="PMingLiU" w:cs="Arial"/>
      <w:bCs/>
      <w:kern w:val="28"/>
      <w:sz w:val="66"/>
      <w:szCs w:val="32"/>
      <w:lang w:val="en-GB" w:eastAsia="en-US" w:bidi="ar-SA"/>
    </w:rPr>
  </w:style>
  <w:style w:type="paragraph" w:customStyle="1" w:styleId="49">
    <w:name w:val="Margin Notes Heading"/>
    <w:basedOn w:val="35"/>
    <w:qFormat/>
    <w:uiPriority w:val="0"/>
    <w:rPr>
      <w:b/>
    </w:rPr>
  </w:style>
  <w:style w:type="paragraph" w:styleId="50">
    <w:name w:val="Quote"/>
    <w:basedOn w:val="4"/>
    <w:qFormat/>
    <w:uiPriority w:val="0"/>
    <w:pPr>
      <w:spacing w:line="340" w:lineRule="atLeast"/>
    </w:pPr>
    <w:rPr>
      <w:sz w:val="28"/>
    </w:rPr>
  </w:style>
  <w:style w:type="paragraph" w:customStyle="1" w:styleId="51">
    <w:name w:val="Appendices Title"/>
    <w:basedOn w:val="5"/>
    <w:next w:val="1"/>
    <w:qFormat/>
    <w:uiPriority w:val="0"/>
  </w:style>
  <w:style w:type="paragraph" w:customStyle="1" w:styleId="52">
    <w:name w:val="Appendix Title"/>
    <w:basedOn w:val="1"/>
    <w:next w:val="4"/>
    <w:qFormat/>
    <w:uiPriority w:val="0"/>
    <w:pPr>
      <w:spacing w:after="2520"/>
    </w:pPr>
    <w:rPr>
      <w:bCs/>
      <w:kern w:val="28"/>
      <w:sz w:val="48"/>
      <w:szCs w:val="32"/>
    </w:rPr>
  </w:style>
  <w:style w:type="paragraph" w:customStyle="1" w:styleId="53">
    <w:name w:val="Chapter Title"/>
    <w:basedOn w:val="24"/>
    <w:qFormat/>
    <w:uiPriority w:val="0"/>
    <w:pPr>
      <w:pBdr>
        <w:bottom w:val="single" w:color="auto" w:sz="4" w:space="5"/>
      </w:pBdr>
    </w:pPr>
    <w:rPr>
      <w:sz w:val="20"/>
    </w:rPr>
  </w:style>
  <w:style w:type="paragraph" w:customStyle="1" w:styleId="54">
    <w:name w:val="Contents"/>
    <w:next w:val="1"/>
    <w:qFormat/>
    <w:uiPriority w:val="0"/>
    <w:pPr>
      <w:spacing w:after="2520" w:line="580" w:lineRule="atLeast"/>
    </w:pPr>
    <w:rPr>
      <w:rFonts w:ascii="Garamond" w:hAnsi="Garamond" w:eastAsia="PMingLiU" w:cs="Arial"/>
      <w:sz w:val="66"/>
      <w:lang w:val="en-GB" w:eastAsia="en-US" w:bidi="ar-SA"/>
    </w:rPr>
  </w:style>
  <w:style w:type="paragraph" w:customStyle="1" w:styleId="55">
    <w:name w:val="Copyright"/>
    <w:semiHidden/>
    <w:qFormat/>
    <w:uiPriority w:val="0"/>
    <w:pPr>
      <w:spacing w:line="220" w:lineRule="atLeast"/>
    </w:pPr>
    <w:rPr>
      <w:rFonts w:ascii="Garamond" w:hAnsi="Garamond" w:eastAsia="PMingLiU" w:cs="Arial"/>
      <w:lang w:val="en-GB" w:eastAsia="en-US" w:bidi="ar-SA"/>
    </w:rPr>
  </w:style>
  <w:style w:type="paragraph" w:customStyle="1" w:styleId="56">
    <w:name w:val="Section Title"/>
    <w:next w:val="4"/>
    <w:qFormat/>
    <w:uiPriority w:val="0"/>
    <w:pPr>
      <w:spacing w:after="2520"/>
    </w:pPr>
    <w:rPr>
      <w:rFonts w:ascii="Garamond" w:hAnsi="Garamond" w:eastAsia="PMingLiU" w:cs="Arial"/>
      <w:sz w:val="48"/>
      <w:lang w:val="en-GB" w:eastAsia="en-US" w:bidi="ar-SA"/>
    </w:rPr>
  </w:style>
  <w:style w:type="paragraph" w:customStyle="1" w:styleId="57">
    <w:name w:val="Paragraph Bullet 2"/>
    <w:basedOn w:val="1"/>
    <w:qFormat/>
    <w:uiPriority w:val="0"/>
    <w:pPr>
      <w:numPr>
        <w:ilvl w:val="1"/>
        <w:numId w:val="4"/>
      </w:numPr>
      <w:spacing w:after="284" w:line="280" w:lineRule="atLeast"/>
    </w:pPr>
  </w:style>
  <w:style w:type="paragraph" w:customStyle="1" w:styleId="58">
    <w:name w:val="Contact Details"/>
    <w:qFormat/>
    <w:uiPriority w:val="0"/>
    <w:rPr>
      <w:rFonts w:ascii="Arial" w:hAnsi="Arial" w:eastAsia="PMingLiU" w:cs="Arial"/>
      <w:sz w:val="16"/>
      <w:lang w:val="en-GB" w:eastAsia="en-US" w:bidi="ar-SA"/>
    </w:rPr>
  </w:style>
  <w:style w:type="paragraph" w:customStyle="1" w:styleId="59">
    <w:name w:val="Contact Details Title"/>
    <w:basedOn w:val="58"/>
    <w:next w:val="58"/>
    <w:qFormat/>
    <w:uiPriority w:val="0"/>
    <w:rPr>
      <w:b/>
    </w:rPr>
  </w:style>
  <w:style w:type="paragraph" w:customStyle="1" w:styleId="60">
    <w:name w:val="Numbered Heading 1"/>
    <w:next w:val="4"/>
    <w:qFormat/>
    <w:uiPriority w:val="0"/>
    <w:pPr>
      <w:numPr>
        <w:ilvl w:val="0"/>
        <w:numId w:val="5"/>
      </w:numPr>
      <w:spacing w:line="260" w:lineRule="atLeast"/>
    </w:pPr>
    <w:rPr>
      <w:rFonts w:ascii="Arial Black" w:hAnsi="Arial Black" w:eastAsia="PMingLiU" w:cs="Arial"/>
      <w:color w:val="4B217E"/>
      <w:sz w:val="19"/>
      <w:lang w:val="en-GB" w:eastAsia="en-US" w:bidi="ar-SA"/>
    </w:rPr>
  </w:style>
  <w:style w:type="paragraph" w:customStyle="1" w:styleId="61">
    <w:name w:val="Numbered Heading 2"/>
    <w:next w:val="4"/>
    <w:qFormat/>
    <w:uiPriority w:val="0"/>
    <w:pPr>
      <w:numPr>
        <w:ilvl w:val="1"/>
        <w:numId w:val="5"/>
      </w:numPr>
      <w:spacing w:line="260" w:lineRule="atLeast"/>
    </w:pPr>
    <w:rPr>
      <w:rFonts w:ascii="Arial Black" w:hAnsi="Arial Black" w:eastAsia="PMingLiU" w:cs="Arial"/>
      <w:color w:val="4B217E"/>
      <w:sz w:val="19"/>
      <w:lang w:val="en-GB" w:eastAsia="en-US" w:bidi="ar-SA"/>
    </w:rPr>
  </w:style>
  <w:style w:type="character" w:customStyle="1" w:styleId="62">
    <w:name w:val="註解方塊文字 字元"/>
    <w:basedOn w:val="29"/>
    <w:link w:val="20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63">
    <w:name w:val="Qualifications"/>
    <w:basedOn w:val="29"/>
    <w:qFormat/>
    <w:uiPriority w:val="0"/>
    <w:rPr>
      <w:rFonts w:hint="default" w:ascii="Garamond" w:hAnsi="Garamond"/>
      <w:color w:val="auto"/>
      <w:sz w:val="22"/>
    </w:rPr>
  </w:style>
  <w:style w:type="character" w:customStyle="1" w:styleId="64">
    <w:name w:val="Unresolved Mention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5">
    <w:name w:val="頁尾 字元"/>
    <w:basedOn w:val="29"/>
    <w:link w:val="21"/>
    <w:semiHidden/>
    <w:qFormat/>
    <w:uiPriority w:val="0"/>
    <w:rPr>
      <w:rFonts w:ascii="Arial" w:hAnsi="Arial" w:cs="Arial"/>
      <w:b/>
      <w:color w:val="747678"/>
      <w:sz w:val="13"/>
      <w:lang w:val="en-GB" w:eastAsia="en-US"/>
    </w:rPr>
  </w:style>
  <w:style w:type="character" w:customStyle="1" w:styleId="66">
    <w:name w:val="註腳文字 字元"/>
    <w:basedOn w:val="29"/>
    <w:link w:val="25"/>
    <w:semiHidden/>
    <w:qFormat/>
    <w:uiPriority w:val="0"/>
    <w:rPr>
      <w:rFonts w:ascii="Garamond" w:hAnsi="Garamond" w:cs="Arial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hloe.NL.Lee\AppData\Roaming\Microsoft\Templates\GT%20CV_A4_G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2AD74-C7B1-410A-96C6-0C9191F8B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CV_A4_GTI</Template>
  <Company>Grant Thornton</Company>
  <Pages>2</Pages>
  <Words>1012</Words>
  <Characters>1222</Characters>
  <Lines>58</Lines>
  <Paragraphs>37</Paragraphs>
  <TotalTime>2</TotalTime>
  <ScaleCrop>false</ScaleCrop>
  <LinksUpToDate>false</LinksUpToDate>
  <CharactersWithSpaces>1259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2024-07-12T06:39:00Z</dcterms:created>
  <dc:creator>Grant Thornton</dc:creator>
  <cp:lastModifiedBy>嘉乐恒-家家</cp:lastModifiedBy>
  <cp:lastPrinted>2018-10-09T02:45:00Z</cp:lastPrinted>
  <dcterms:modified xsi:type="dcterms:W3CDTF">2024-07-23T02:54:17Z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CV</vt:lpwstr>
  </property>
  <property fmtid="{D5CDD505-2E9C-101B-9397-08002B2CF9AE}" pid="3" name="KSOProductBuildVer">
    <vt:lpwstr>2052-12.1.0.17147</vt:lpwstr>
  </property>
  <property fmtid="{D5CDD505-2E9C-101B-9397-08002B2CF9AE}" pid="4" name="ICV">
    <vt:lpwstr>08BA3AFC3A35474E88B32EC6FAA5D5A5_12</vt:lpwstr>
  </property>
</Properties>
</file>