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55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contextualSpacing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2026年度会计师事务所助理审计人员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网络</w:t>
      </w:r>
      <w:bookmarkStart w:id="2" w:name="_GoBack"/>
      <w:bookmarkEnd w:id="2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培训流程</w:t>
      </w:r>
    </w:p>
    <w:p w14:paraId="0C95E900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contextualSpacing/>
        <w:textAlignment w:val="auto"/>
        <w:rPr>
          <w:rFonts w:ascii="黑体" w:hAnsi="黑体" w:eastAsia="黑体"/>
          <w:b w:val="0"/>
          <w:bCs w:val="0"/>
        </w:rPr>
      </w:pPr>
    </w:p>
    <w:p w14:paraId="6E186D87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contextualSpacing/>
        <w:textAlignment w:val="auto"/>
        <w:rPr>
          <w:rFonts w:hint="eastAsia" w:ascii="黑体" w:hAnsi="黑体" w:eastAsia="黑体"/>
          <w:b w:val="0"/>
          <w:bCs w:val="0"/>
        </w:rPr>
      </w:pPr>
      <w:r>
        <w:rPr>
          <w:rFonts w:hint="eastAsia" w:ascii="黑体" w:hAnsi="黑体" w:eastAsia="黑体"/>
          <w:b w:val="0"/>
          <w:bCs w:val="0"/>
        </w:rPr>
        <w:t>电脑端学习和微信端学习流程</w:t>
      </w:r>
    </w:p>
    <w:p w14:paraId="27182DB2"/>
    <w:p w14:paraId="3A2ECDA7">
      <w:pPr>
        <w:pStyle w:val="6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contextualSpacing/>
        <w:textAlignment w:val="auto"/>
        <w:rPr>
          <w:rFonts w:ascii="黑体" w:hAnsi="黑体" w:eastAsia="黑体"/>
          <w:b w:val="0"/>
          <w:bCs w:val="0"/>
        </w:rPr>
      </w:pPr>
      <w:bookmarkStart w:id="0" w:name="_Hlk5891479"/>
      <w:r>
        <w:rPr>
          <w:rFonts w:hint="eastAsia" w:ascii="黑体" w:hAnsi="黑体" w:eastAsia="黑体"/>
          <w:b w:val="0"/>
          <w:bCs w:val="0"/>
        </w:rPr>
        <w:t>电脑端学习</w:t>
      </w:r>
      <w:r>
        <w:rPr>
          <w:rFonts w:hint="eastAsia" w:ascii="黑体" w:hAnsi="黑体" w:eastAsia="黑体"/>
          <w:b w:val="0"/>
          <w:bCs w:val="0"/>
          <w:lang w:val="en-US" w:eastAsia="zh-CN"/>
        </w:rPr>
        <w:t>流程</w:t>
      </w:r>
    </w:p>
    <w:p w14:paraId="407845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b/>
          <w:bCs/>
          <w:sz w:val="28"/>
          <w:szCs w:val="28"/>
          <w:highlight w:val="none"/>
        </w:rPr>
      </w:pPr>
      <w:r>
        <w:rPr>
          <w:rFonts w:hint="eastAsia" w:ascii="黑体" w:hAnsi="黑体" w:eastAsia="黑体"/>
          <w:b/>
          <w:bCs/>
          <w:sz w:val="28"/>
          <w:szCs w:val="28"/>
          <w:highlight w:val="none"/>
        </w:rPr>
        <w:t>以初级版为例，高级版流程步骤与初级版一致</w:t>
      </w:r>
    </w:p>
    <w:bookmarkEnd w:id="0"/>
    <w:p w14:paraId="30945204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黑体" w:hAnsi="黑体" w:eastAsia="黑体" w:cs="Tahoma"/>
          <w:b/>
          <w:color w:val="333333"/>
        </w:rPr>
      </w:pPr>
      <w:r>
        <w:rPr>
          <w:rFonts w:hint="eastAsia" w:ascii="黑体" w:hAnsi="黑体" w:eastAsia="黑体" w:cs="Tahoma"/>
          <w:b/>
          <w:color w:val="333333"/>
        </w:rPr>
        <w:t>第一步：登录平台</w:t>
      </w:r>
    </w:p>
    <w:p w14:paraId="5999D390">
      <w:pPr>
        <w:pStyle w:val="7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仿宋_GB2312" w:hAnsi="微软雅黑" w:eastAsia="仿宋_GB2312" w:cs="微软雅黑"/>
          <w:bCs/>
        </w:rPr>
      </w:pPr>
      <w:r>
        <w:rPr>
          <w:rFonts w:hint="eastAsia" w:ascii="仿宋_GB2312" w:hAnsi="微软雅黑" w:eastAsia="仿宋_GB2312" w:cs="Tahoma"/>
          <w:color w:val="333333"/>
        </w:rPr>
        <w:t>网址：</w:t>
      </w:r>
      <w:r>
        <w:fldChar w:fldCharType="begin"/>
      </w:r>
      <w:r>
        <w:instrText xml:space="preserve"> HYPERLINK "http://ce.esnai.net/cpacyshenzhen/index.do" </w:instrText>
      </w:r>
      <w:r>
        <w:fldChar w:fldCharType="separate"/>
      </w:r>
      <w:r>
        <w:rPr>
          <w:rStyle w:val="10"/>
          <w:rFonts w:ascii="仿宋_GB2312" w:hAnsi="微软雅黑" w:eastAsia="仿宋_GB2312" w:cs="微软雅黑"/>
          <w:bCs/>
        </w:rPr>
        <w:t>http://ce.esnai.net/cpacyshenzhen/index.do</w:t>
      </w:r>
      <w:r>
        <w:rPr>
          <w:rStyle w:val="10"/>
          <w:rFonts w:ascii="仿宋_GB2312" w:hAnsi="微软雅黑" w:eastAsia="仿宋_GB2312" w:cs="微软雅黑"/>
          <w:bCs/>
        </w:rPr>
        <w:fldChar w:fldCharType="end"/>
      </w:r>
    </w:p>
    <w:p w14:paraId="5C2357B9"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contextualSpacing/>
        <w:textAlignment w:val="auto"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2.注册登录。点击“登录/注册”按钮，输入姓名+身份证号登录培训平台，按照要求补充个人信息（带星号为必填项）。</w:t>
      </w:r>
    </w:p>
    <w:p w14:paraId="316AA0E5">
      <w:pPr>
        <w:pStyle w:val="7"/>
        <w:wordWrap/>
        <w:spacing w:line="360" w:lineRule="auto"/>
        <w:ind w:left="360"/>
        <w:contextualSpacing/>
        <w:rPr>
          <w:rFonts w:ascii="仿宋_GB2312" w:hAnsi="微软雅黑" w:eastAsia="仿宋_GB2312" w:cs="微软雅黑"/>
          <w:bCs/>
        </w:rPr>
      </w:pPr>
    </w:p>
    <w:p w14:paraId="57AD7EB5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533140" cy="1467485"/>
            <wp:effectExtent l="0" t="0" r="0" b="0"/>
            <wp:docPr id="1353530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30050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99" cy="14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t xml:space="preserve"> </w:t>
      </w:r>
    </w:p>
    <w:p w14:paraId="0B5C2808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542030" cy="1487170"/>
            <wp:effectExtent l="0" t="0" r="0" b="0"/>
            <wp:docPr id="805672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7233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93" cy="14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4864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2997200" cy="1381125"/>
            <wp:effectExtent l="0" t="0" r="0" b="0"/>
            <wp:docPr id="1068638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3873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95" cy="13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27B6">
      <w:pPr>
        <w:pStyle w:val="7"/>
        <w:wordWrap/>
        <w:spacing w:line="360" w:lineRule="auto"/>
        <w:contextualSpacing/>
        <w:rPr>
          <w:rFonts w:ascii="黑体" w:hAnsi="黑体" w:eastAsia="黑体" w:cs="Tahoma"/>
          <w:b/>
          <w:color w:val="333333"/>
        </w:rPr>
      </w:pPr>
      <w:r>
        <w:rPr>
          <w:rFonts w:hint="eastAsia" w:ascii="黑体" w:hAnsi="黑体" w:eastAsia="黑体" w:cs="Tahoma"/>
          <w:b/>
          <w:color w:val="333333"/>
        </w:rPr>
        <w:t>第二步：参加培训</w:t>
      </w:r>
    </w:p>
    <w:p w14:paraId="36A39DA4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bCs/>
          <w:color w:val="333333"/>
        </w:rPr>
      </w:pPr>
      <w:r>
        <w:rPr>
          <w:rFonts w:hint="eastAsia" w:ascii="仿宋_GB2312" w:hAnsi="微软雅黑" w:eastAsia="仿宋_GB2312" w:cs="Tahoma"/>
          <w:bCs/>
          <w:color w:val="333333"/>
        </w:rPr>
        <w:t>1.点击“参加培训”，可以</w:t>
      </w:r>
      <w:r>
        <w:rPr>
          <w:rFonts w:hint="eastAsia" w:ascii="仿宋_GB2312" w:hAnsi="微软雅黑" w:eastAsia="仿宋_GB2312" w:cs="Tahoma"/>
          <w:bCs/>
          <w:color w:val="333333"/>
          <w:lang w:val="en-US" w:eastAsia="zh-CN"/>
        </w:rPr>
        <w:t>根据</w:t>
      </w:r>
      <w:r>
        <w:rPr>
          <w:rFonts w:hint="eastAsia" w:ascii="仿宋_GB2312" w:hAnsi="微软雅黑" w:eastAsia="仿宋_GB2312" w:cs="Tahoma"/>
          <w:bCs/>
          <w:color w:val="333333"/>
        </w:rPr>
        <w:t>自己</w:t>
      </w:r>
      <w:r>
        <w:rPr>
          <w:rFonts w:hint="eastAsia" w:ascii="仿宋_GB2312" w:hAnsi="微软雅黑" w:eastAsia="仿宋_GB2312" w:cs="Tahoma"/>
          <w:bCs/>
          <w:color w:val="333333"/>
          <w:lang w:val="en-US" w:eastAsia="zh-CN"/>
        </w:rPr>
        <w:t>的</w:t>
      </w:r>
      <w:r>
        <w:rPr>
          <w:rFonts w:hint="eastAsia" w:ascii="仿宋_GB2312" w:hAnsi="微软雅黑" w:eastAsia="仿宋_GB2312" w:cs="Tahoma"/>
          <w:bCs/>
          <w:color w:val="333333"/>
        </w:rPr>
        <w:t>需要选择参加的培训</w:t>
      </w:r>
      <w:r>
        <w:rPr>
          <w:rFonts w:hint="eastAsia" w:ascii="仿宋_GB2312" w:hAnsi="微软雅黑" w:eastAsia="仿宋_GB2312" w:cs="Tahoma"/>
          <w:bCs/>
          <w:color w:val="333333"/>
          <w:lang w:val="en-US" w:eastAsia="zh-CN"/>
        </w:rPr>
        <w:t>课程</w:t>
      </w:r>
      <w:r>
        <w:rPr>
          <w:rFonts w:hint="eastAsia" w:ascii="仿宋_GB2312" w:hAnsi="微软雅黑" w:eastAsia="仿宋_GB2312" w:cs="Tahoma"/>
          <w:bCs/>
          <w:color w:val="333333"/>
        </w:rPr>
        <w:t>名称。</w:t>
      </w:r>
    </w:p>
    <w:p w14:paraId="5E9B16C2">
      <w:pPr>
        <w:pStyle w:val="7"/>
        <w:wordWrap/>
        <w:spacing w:line="360" w:lineRule="auto"/>
        <w:contextualSpacing/>
      </w:pPr>
      <w:r>
        <w:t xml:space="preserve"> </w:t>
      </w:r>
      <w:r>
        <w:drawing>
          <wp:inline distT="0" distB="0" distL="0" distR="0">
            <wp:extent cx="3448050" cy="1316990"/>
            <wp:effectExtent l="0" t="0" r="0" b="0"/>
            <wp:docPr id="1098493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3588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8979"/>
                    <a:stretch>
                      <a:fillRect/>
                    </a:stretch>
                  </pic:blipFill>
                  <pic:spPr>
                    <a:xfrm>
                      <a:off x="0" y="0"/>
                      <a:ext cx="3448455" cy="1317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6263">
      <w:pPr>
        <w:pStyle w:val="7"/>
        <w:wordWrap/>
        <w:spacing w:line="360" w:lineRule="auto"/>
        <w:contextualSpacing/>
        <w:rPr>
          <w:rFonts w:hint="eastAsia" w:ascii="仿宋_GB2312" w:hAnsi="微软雅黑" w:eastAsia="仿宋_GB2312" w:cs="Tahoma"/>
          <w:bCs/>
          <w:color w:val="333333"/>
        </w:rPr>
      </w:pPr>
      <w:r>
        <w:rPr>
          <w:rFonts w:hint="eastAsia" w:ascii="仿宋_GB2312" w:hAnsi="微软雅黑" w:eastAsia="仿宋_GB2312" w:cs="Tahoma"/>
          <w:bCs/>
          <w:color w:val="333333"/>
        </w:rPr>
        <w:t>2.缴费。可以使用支付宝或者微信扫码缴费</w:t>
      </w:r>
    </w:p>
    <w:p w14:paraId="3EFA37A5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drawing>
          <wp:inline distT="0" distB="0" distL="0" distR="0">
            <wp:extent cx="3430905" cy="1628775"/>
            <wp:effectExtent l="0" t="0" r="0" b="0"/>
            <wp:docPr id="422797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97126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80" cy="16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3D88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3.申请发票。点击“申请发票”按钮，可进入到发票申请页面。</w:t>
      </w:r>
    </w:p>
    <w:p w14:paraId="2D964C2A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drawing>
          <wp:inline distT="0" distB="0" distL="0" distR="0">
            <wp:extent cx="3496945" cy="1090295"/>
            <wp:effectExtent l="0" t="0" r="0" b="0"/>
            <wp:docPr id="6885802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8023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rcRect t="24050"/>
                    <a:stretch>
                      <a:fillRect/>
                    </a:stretch>
                  </pic:blipFill>
                  <pic:spPr>
                    <a:xfrm>
                      <a:off x="0" y="0"/>
                      <a:ext cx="3516417" cy="10969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E21F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4.在线选课。点击“选课”进入课程列表界面，学员可以根据自己的需要选择课程进行学习。</w:t>
      </w:r>
    </w:p>
    <w:p w14:paraId="4812E296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551045" cy="1717040"/>
            <wp:effectExtent l="0" t="0" r="0" b="0"/>
            <wp:docPr id="94052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2354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 b="9423"/>
                    <a:stretch>
                      <a:fillRect/>
                    </a:stretch>
                  </pic:blipFill>
                  <pic:spPr>
                    <a:xfrm>
                      <a:off x="0" y="0"/>
                      <a:ext cx="4551193" cy="1717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4104A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771265" cy="1724660"/>
            <wp:effectExtent l="0" t="0" r="0" b="0"/>
            <wp:docPr id="1865293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93539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375" cy="17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A2B1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hAnsi="微软雅黑" w:eastAsia="仿宋_GB2312" w:cs="Tahoma"/>
          <w:color w:val="333333"/>
        </w:rPr>
        <w:t>（1）试听：点击“试听”可先试听15分钟课程。</w:t>
      </w:r>
      <w:r>
        <w:rPr>
          <w:rFonts w:hint="eastAsia" w:ascii="仿宋_GB2312" w:eastAsia="仿宋_GB2312"/>
        </w:rPr>
        <w:t xml:space="preserve">  </w:t>
      </w:r>
    </w:p>
    <w:p w14:paraId="074DC96E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660140" cy="1691005"/>
            <wp:effectExtent l="0" t="0" r="0" b="0"/>
            <wp:docPr id="1148973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73296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93" cy="169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9512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hAnsi="微软雅黑" w:eastAsia="仿宋_GB2312" w:cs="Tahoma"/>
          <w:color w:val="333333"/>
        </w:rPr>
        <w:t>（2）选课：点击“选课”，选完课程后，点击“前往学习”。</w:t>
      </w:r>
      <w:r>
        <w:rPr>
          <w:rFonts w:hint="eastAsia" w:ascii="仿宋_GB2312" w:eastAsia="仿宋_GB2312"/>
        </w:rPr>
        <w:t xml:space="preserve">  </w:t>
      </w:r>
    </w:p>
    <w:p w14:paraId="5E50530A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420110" cy="1538605"/>
            <wp:effectExtent l="0" t="0" r="0" b="0"/>
            <wp:docPr id="431288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88252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24" cy="15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4E52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 xml:space="preserve">（3）取消选课：未听课前，可点击此按钮取消选课，如果已经听了此门课程，则无法再取消。 </w:t>
      </w:r>
    </w:p>
    <w:p w14:paraId="0098490C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b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982085" cy="1915795"/>
            <wp:effectExtent l="0" t="0" r="0" b="0"/>
            <wp:docPr id="832119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1996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430" cy="19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A3BB">
      <w:pPr>
        <w:pStyle w:val="7"/>
        <w:wordWrap/>
        <w:spacing w:line="360" w:lineRule="auto"/>
        <w:contextualSpacing/>
        <w:rPr>
          <w:rFonts w:ascii="黑体" w:hAnsi="黑体" w:eastAsia="黑体" w:cs="Tahoma"/>
          <w:b/>
          <w:color w:val="333333"/>
        </w:rPr>
      </w:pPr>
      <w:r>
        <w:rPr>
          <w:rFonts w:hint="eastAsia" w:ascii="黑体" w:hAnsi="黑体" w:eastAsia="黑体" w:cs="Tahoma"/>
          <w:b/>
          <w:color w:val="333333"/>
        </w:rPr>
        <w:t>第三步：在线学习</w:t>
      </w:r>
    </w:p>
    <w:p w14:paraId="6AC530E0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1.在课程列表中点此按钮，可进入课程播放界面。在课程播放界面，您可以提问、查看课程目录、下载讲义、查看已选课表等等。</w:t>
      </w:r>
    </w:p>
    <w:p w14:paraId="189D763A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221480" cy="2017395"/>
            <wp:effectExtent l="0" t="0" r="0" b="0"/>
            <wp:docPr id="770659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59757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49" cy="20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A731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275455" cy="1875155"/>
            <wp:effectExtent l="0" t="0" r="0" b="0"/>
            <wp:docPr id="1737685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85589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47" cy="18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3BA8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t>2.练习中心。完成相应的课程后，可以点击“练习中心”做练习题。</w:t>
      </w:r>
    </w:p>
    <w:p w14:paraId="325808FF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drawing>
          <wp:inline distT="0" distB="0" distL="0" distR="0">
            <wp:extent cx="4197985" cy="1870710"/>
            <wp:effectExtent l="0" t="0" r="0" b="0"/>
            <wp:docPr id="1490260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60535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18" cy="187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9A82">
      <w:pPr>
        <w:pStyle w:val="7"/>
        <w:wordWrap/>
        <w:spacing w:line="360" w:lineRule="auto"/>
        <w:contextualSpacing/>
        <w:rPr>
          <w:rFonts w:ascii="仿宋_GB2312" w:eastAsia="仿宋_GB2312"/>
        </w:rPr>
      </w:pPr>
    </w:p>
    <w:p w14:paraId="31DD54FE">
      <w:pPr>
        <w:pStyle w:val="7"/>
        <w:wordWrap/>
        <w:spacing w:line="36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t>3.考试。完成至少24学时后，需要参加考试。</w:t>
      </w:r>
    </w:p>
    <w:p w14:paraId="1F2F8282">
      <w:pPr>
        <w:spacing w:line="360" w:lineRule="auto"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781550" cy="1481455"/>
            <wp:effectExtent l="0" t="0" r="0" b="0"/>
            <wp:docPr id="2009795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95612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3" b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4781741" cy="14817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7E6B">
      <w:pPr>
        <w:widowControl/>
        <w:jc w:val="left"/>
        <w:rPr>
          <w:rFonts w:ascii="仿宋_GB2312" w:hAnsi="微软雅黑" w:eastAsia="仿宋_GB2312"/>
          <w:b/>
          <w:bCs/>
          <w:kern w:val="28"/>
          <w:sz w:val="32"/>
          <w:szCs w:val="32"/>
        </w:rPr>
      </w:pPr>
      <w:bookmarkStart w:id="1" w:name="_Hlk72150649"/>
      <w:r>
        <w:rPr>
          <w:rFonts w:ascii="仿宋_GB2312" w:hAnsi="微软雅黑" w:eastAsia="仿宋_GB2312"/>
        </w:rPr>
        <w:br w:type="page"/>
      </w:r>
    </w:p>
    <w:p w14:paraId="1E0D9329">
      <w:pPr>
        <w:pStyle w:val="6"/>
        <w:spacing w:line="360" w:lineRule="auto"/>
        <w:contextualSpacing/>
        <w:rPr>
          <w:rFonts w:ascii="黑体" w:hAnsi="黑体" w:eastAsia="黑体"/>
          <w:b w:val="0"/>
          <w:bCs w:val="0"/>
        </w:rPr>
      </w:pPr>
      <w:r>
        <w:rPr>
          <w:rFonts w:hint="eastAsia" w:ascii="黑体" w:hAnsi="黑体" w:eastAsia="黑体"/>
          <w:b w:val="0"/>
          <w:bCs w:val="0"/>
        </w:rPr>
        <w:t>二、微信学习流程</w:t>
      </w:r>
    </w:p>
    <w:p w14:paraId="0A609819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1.在进行绑定微信参加学习前，请先使用电脑登录培训平台，完成选课，然后在左侧登陆区点击“微信学习”。</w:t>
      </w:r>
    </w:p>
    <w:p w14:paraId="31AC5A4E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3235960" cy="1562735"/>
            <wp:effectExtent l="0" t="0" r="0" b="0"/>
            <wp:docPr id="363632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32445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68" cy="15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B041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2.在手机微信首页界面，点击右上角菜单的加号，选择菜单项“扫一扫”，扫描网页《微信绑定说明》中的第一个二维码（或下图二维码），关注“上海国家会计学院远程信息网”。</w:t>
      </w:r>
    </w:p>
    <w:p w14:paraId="145D3F57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drawing>
          <wp:inline distT="0" distB="0" distL="0" distR="0">
            <wp:extent cx="1482725" cy="1527810"/>
            <wp:effectExtent l="0" t="0" r="0" b="0"/>
            <wp:docPr id="1608939313" name="图片 1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39313" name="图片 1" descr="QR 代码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/>
                    <a:srcRect l="17971" t="9884" r="22343" b="6971"/>
                    <a:stretch>
                      <a:fillRect/>
                    </a:stretch>
                  </pic:blipFill>
                  <pic:spPr>
                    <a:xfrm>
                      <a:off x="0" y="0"/>
                      <a:ext cx="1483791" cy="1528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79D8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3.绑定微信学习</w:t>
      </w:r>
    </w:p>
    <w:p w14:paraId="278817CE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（1）点击微信菜单项中“微信学习”中的子菜单“继续教育”，进入绑定界面。</w:t>
      </w:r>
    </w:p>
    <w:p w14:paraId="2133BC48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（2）点击“绑定新的培训”，然后扫描《微信绑定说明》中的第二个二维码，（如果之前已经绑定了“上海注册会计师执业会员继续教育”，可以直接点击进入，无需再次绑定）。</w:t>
      </w:r>
    </w:p>
    <w:p w14:paraId="16A6E4D4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drawing>
          <wp:inline distT="0" distB="0" distL="0" distR="0">
            <wp:extent cx="1334770" cy="2322195"/>
            <wp:effectExtent l="0" t="0" r="0" b="0"/>
            <wp:docPr id="289685107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85107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rcRect t="4988"/>
                    <a:stretch>
                      <a:fillRect/>
                    </a:stretch>
                  </pic:blipFill>
                  <pic:spPr>
                    <a:xfrm>
                      <a:off x="0" y="0"/>
                      <a:ext cx="1358313" cy="23634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EBF3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（3）选择需要参加的培训</w:t>
      </w:r>
      <w:r>
        <w:rPr>
          <w:rFonts w:hint="eastAsia" w:ascii="仿宋_GB2312" w:hAnsi="微软雅黑" w:eastAsia="仿宋_GB2312" w:cs="Tahoma"/>
          <w:color w:val="333333"/>
          <w:lang w:val="en-US" w:eastAsia="zh-CN"/>
        </w:rPr>
        <w:t>课程</w:t>
      </w:r>
      <w:r>
        <w:rPr>
          <w:rFonts w:hint="eastAsia" w:ascii="仿宋_GB2312" w:hAnsi="微软雅黑" w:eastAsia="仿宋_GB2312" w:cs="Tahoma"/>
          <w:color w:val="333333"/>
        </w:rPr>
        <w:t>名称，即可完成绑定。</w:t>
      </w:r>
    </w:p>
    <w:p w14:paraId="2A4FA59F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drawing>
          <wp:inline distT="0" distB="0" distL="0" distR="0">
            <wp:extent cx="1348740" cy="2769870"/>
            <wp:effectExtent l="0" t="0" r="0" b="0"/>
            <wp:docPr id="477542397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42397" name="图片 1" descr="图形用户界面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rcRect t="4552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387083" cy="28486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E8FF">
      <w:pPr>
        <w:widowControl/>
        <w:spacing w:before="100" w:beforeAutospacing="1" w:after="100" w:afterAutospacing="1" w:line="360" w:lineRule="auto"/>
        <w:contextualSpacing/>
        <w:jc w:val="left"/>
        <w:rPr>
          <w:rFonts w:ascii="仿宋_GB2312" w:hAnsi="微软雅黑" w:eastAsia="仿宋_GB2312" w:cs="Tahoma"/>
          <w:color w:val="333333"/>
          <w:sz w:val="24"/>
          <w:szCs w:val="24"/>
        </w:rPr>
      </w:pPr>
      <w:r>
        <w:rPr>
          <w:rFonts w:hint="eastAsia" w:ascii="仿宋_GB2312" w:eastAsia="仿宋_GB2312"/>
        </w:rPr>
        <w:t xml:space="preserve"> </w:t>
      </w:r>
      <w:r>
        <w:rPr>
          <w:rFonts w:hint="eastAsia" w:ascii="仿宋_GB2312" w:hAnsi="微软雅黑" w:eastAsia="仿宋_GB2312" w:cs="Tahoma"/>
          <w:color w:val="333333"/>
          <w:sz w:val="24"/>
          <w:szCs w:val="24"/>
        </w:rPr>
        <w:t>4、绑定完成后，即可进入培训主界面，在“我的培训”列表中可看到所选择的培训名称，点击具体培训，即可进入学习。还可以在微信端做练习题以及提问等等。</w:t>
      </w:r>
    </w:p>
    <w:p w14:paraId="2EB738B5">
      <w:pPr>
        <w:widowControl/>
        <w:tabs>
          <w:tab w:val="left" w:pos="6264"/>
        </w:tabs>
        <w:spacing w:before="100" w:beforeAutospacing="1" w:after="100" w:afterAutospacing="1" w:line="360" w:lineRule="auto"/>
        <w:contextualSpacing/>
        <w:jc w:val="left"/>
        <w:rPr>
          <w:rFonts w:ascii="仿宋_GB2312" w:hAnsi="微软雅黑" w:eastAsia="仿宋_GB2312" w:cs="Arial"/>
          <w:color w:val="333333"/>
          <w:kern w:val="0"/>
          <w:sz w:val="20"/>
          <w:szCs w:val="20"/>
        </w:rPr>
      </w:pPr>
      <w:r>
        <w:rPr>
          <w:rFonts w:hint="eastAsia" w:ascii="仿宋_GB2312" w:hAnsi="微软雅黑" w:eastAsia="仿宋_GB2312" w:cs="Arial"/>
          <w:color w:val="333333"/>
          <w:kern w:val="0"/>
          <w:sz w:val="20"/>
          <w:szCs w:val="20"/>
        </w:rPr>
        <w:t xml:space="preserve">   </w:t>
      </w:r>
      <w:r>
        <w:rPr>
          <w:rFonts w:hint="eastAsia" w:ascii="仿宋_GB2312" w:hAnsi="微软雅黑" w:eastAsia="仿宋_GB2312" w:cs="Arial"/>
          <w:color w:val="333333"/>
          <w:kern w:val="0"/>
          <w:sz w:val="20"/>
          <w:szCs w:val="20"/>
        </w:rPr>
        <w:drawing>
          <wp:inline distT="0" distB="0" distL="0" distR="0">
            <wp:extent cx="1032510" cy="20916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75" cy="209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Arial"/>
          <w:color w:val="333333"/>
          <w:kern w:val="0"/>
          <w:sz w:val="20"/>
          <w:szCs w:val="20"/>
        </w:rPr>
        <w:t xml:space="preserve">  </w:t>
      </w:r>
      <w:r>
        <w:rPr>
          <w:rFonts w:hint="eastAsia" w:ascii="仿宋_GB2312" w:eastAsia="仿宋_GB2312"/>
        </w:rPr>
        <w:drawing>
          <wp:inline distT="0" distB="0" distL="0" distR="0">
            <wp:extent cx="1067435" cy="19291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71" cy="19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Arial"/>
          <w:color w:val="333333"/>
          <w:kern w:val="0"/>
          <w:sz w:val="20"/>
          <w:szCs w:val="20"/>
        </w:rPr>
        <w:t xml:space="preserve">  </w:t>
      </w:r>
      <w:r>
        <w:rPr>
          <w:rFonts w:hint="eastAsia" w:ascii="仿宋_GB2312" w:eastAsia="仿宋_GB2312"/>
        </w:rPr>
        <w:drawing>
          <wp:inline distT="0" distB="0" distL="0" distR="0">
            <wp:extent cx="1054100" cy="19202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72" cy="19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 w:cs="Arial"/>
          <w:color w:val="333333"/>
          <w:kern w:val="0"/>
          <w:sz w:val="20"/>
          <w:szCs w:val="20"/>
        </w:rPr>
        <w:tab/>
      </w:r>
    </w:p>
    <w:p w14:paraId="460748D4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</w:rPr>
      </w:pPr>
      <w:r>
        <w:rPr>
          <w:rFonts w:hint="eastAsia" w:ascii="仿宋_GB2312" w:hAnsi="微软雅黑" w:eastAsia="仿宋_GB2312" w:cs="Tahoma"/>
          <w:color w:val="333333"/>
        </w:rPr>
        <w:t>5.学习过程中，学时会自动同步到PC端。</w:t>
      </w:r>
    </w:p>
    <w:p w14:paraId="2081B506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</w:p>
    <w:p w14:paraId="2B0A7003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</w:p>
    <w:p w14:paraId="4A77EBD8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color w:val="333333"/>
          <w:sz w:val="18"/>
          <w:szCs w:val="18"/>
        </w:rPr>
      </w:pPr>
    </w:p>
    <w:p w14:paraId="759FA59E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bCs/>
          <w:color w:val="333333"/>
        </w:rPr>
      </w:pPr>
      <w:r>
        <w:rPr>
          <w:rFonts w:hint="eastAsia" w:ascii="仿宋_GB2312" w:hAnsi="微软雅黑" w:eastAsia="仿宋_GB2312" w:cs="Tahoma"/>
          <w:bCs/>
          <w:color w:val="333333"/>
        </w:rPr>
        <w:t>备注：教务咨询电话及工作时间</w:t>
      </w:r>
    </w:p>
    <w:p w14:paraId="08A18AAC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bCs/>
          <w:color w:val="333333"/>
        </w:rPr>
      </w:pPr>
      <w:r>
        <w:rPr>
          <w:rFonts w:hint="eastAsia" w:ascii="仿宋_GB2312" w:hAnsi="微软雅黑" w:eastAsia="仿宋_GB2312" w:cs="Tahoma"/>
          <w:bCs/>
          <w:color w:val="333333"/>
        </w:rPr>
        <w:t>咨询电话：400-900-5955（免长途，只收市话费）</w:t>
      </w:r>
    </w:p>
    <w:p w14:paraId="3851AE18">
      <w:pPr>
        <w:pStyle w:val="7"/>
        <w:wordWrap/>
        <w:spacing w:line="360" w:lineRule="auto"/>
        <w:contextualSpacing/>
        <w:rPr>
          <w:rFonts w:ascii="仿宋_GB2312" w:hAnsi="微软雅黑" w:eastAsia="仿宋_GB2312" w:cs="Tahoma"/>
          <w:bCs/>
          <w:color w:val="333333"/>
        </w:rPr>
      </w:pPr>
      <w:r>
        <w:rPr>
          <w:rFonts w:hint="eastAsia" w:ascii="仿宋_GB2312" w:hAnsi="微软雅黑" w:eastAsia="仿宋_GB2312" w:cs="Tahoma"/>
          <w:bCs/>
          <w:color w:val="333333"/>
        </w:rPr>
        <w:t>咨询时间：24小时客服（周末不休）</w:t>
      </w:r>
    </w:p>
    <w:bookmarkEnd w:id="1"/>
    <w:p w14:paraId="63834879">
      <w:pPr>
        <w:spacing w:line="360" w:lineRule="auto"/>
        <w:contextualSpacing/>
        <w:rPr>
          <w:rFonts w:ascii="仿宋_GB2312" w:hAnsi="微软雅黑" w:eastAsia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A31CA97-7A18-4E72-9B91-6E34B6A19E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30BB1E5-F1B5-4915-BA85-20C7E36F2D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42C4AC5F-F6AB-437A-B554-3323BEF0D23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4" w:fontKey="{69C8492A-06BA-4ADD-AFF3-CB2AEE21EF8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D1D3F84A-A4A2-4390-A032-7AF7C8AF27C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E390B42F-BD8F-4FC1-9B35-CFC1E267DF3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D3614"/>
    <w:multiLevelType w:val="multilevel"/>
    <w:tmpl w:val="074D361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ahoma"/>
        <w:color w:val="333333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C20645E"/>
    <w:multiLevelType w:val="multilevel"/>
    <w:tmpl w:val="3C20645E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47"/>
    <w:rsid w:val="0000201F"/>
    <w:rsid w:val="00002712"/>
    <w:rsid w:val="00003D93"/>
    <w:rsid w:val="00004867"/>
    <w:rsid w:val="000076FD"/>
    <w:rsid w:val="00011BAD"/>
    <w:rsid w:val="00017F31"/>
    <w:rsid w:val="000265DC"/>
    <w:rsid w:val="000447AF"/>
    <w:rsid w:val="000531D6"/>
    <w:rsid w:val="0007586F"/>
    <w:rsid w:val="00083712"/>
    <w:rsid w:val="000961A8"/>
    <w:rsid w:val="000B5F0E"/>
    <w:rsid w:val="000C7735"/>
    <w:rsid w:val="000D7E10"/>
    <w:rsid w:val="000E032B"/>
    <w:rsid w:val="001054BD"/>
    <w:rsid w:val="001126F2"/>
    <w:rsid w:val="001505C4"/>
    <w:rsid w:val="001570FC"/>
    <w:rsid w:val="00193ED0"/>
    <w:rsid w:val="00195AF3"/>
    <w:rsid w:val="001B2B4F"/>
    <w:rsid w:val="001D6672"/>
    <w:rsid w:val="001E0926"/>
    <w:rsid w:val="001E249E"/>
    <w:rsid w:val="00206C76"/>
    <w:rsid w:val="00206E6A"/>
    <w:rsid w:val="00207515"/>
    <w:rsid w:val="00211479"/>
    <w:rsid w:val="0021455A"/>
    <w:rsid w:val="002172AE"/>
    <w:rsid w:val="00220204"/>
    <w:rsid w:val="00243498"/>
    <w:rsid w:val="002443A2"/>
    <w:rsid w:val="00281C06"/>
    <w:rsid w:val="002A7FDD"/>
    <w:rsid w:val="002D7299"/>
    <w:rsid w:val="002E419B"/>
    <w:rsid w:val="003066ED"/>
    <w:rsid w:val="0031400B"/>
    <w:rsid w:val="00316630"/>
    <w:rsid w:val="00335C3F"/>
    <w:rsid w:val="00360F73"/>
    <w:rsid w:val="003735BC"/>
    <w:rsid w:val="00375D48"/>
    <w:rsid w:val="003A3605"/>
    <w:rsid w:val="003B71A8"/>
    <w:rsid w:val="003C63BA"/>
    <w:rsid w:val="003E03C9"/>
    <w:rsid w:val="003F2350"/>
    <w:rsid w:val="00403B05"/>
    <w:rsid w:val="004244C4"/>
    <w:rsid w:val="0043023C"/>
    <w:rsid w:val="00436525"/>
    <w:rsid w:val="004576E7"/>
    <w:rsid w:val="00461CFF"/>
    <w:rsid w:val="00464F11"/>
    <w:rsid w:val="0046723F"/>
    <w:rsid w:val="004831B9"/>
    <w:rsid w:val="004943D4"/>
    <w:rsid w:val="004A4561"/>
    <w:rsid w:val="004B345B"/>
    <w:rsid w:val="004B5C24"/>
    <w:rsid w:val="004B711D"/>
    <w:rsid w:val="004D04C8"/>
    <w:rsid w:val="004E240C"/>
    <w:rsid w:val="004E2C9D"/>
    <w:rsid w:val="00502491"/>
    <w:rsid w:val="005159AC"/>
    <w:rsid w:val="00521553"/>
    <w:rsid w:val="005224B2"/>
    <w:rsid w:val="00533858"/>
    <w:rsid w:val="005452D0"/>
    <w:rsid w:val="0057251F"/>
    <w:rsid w:val="005A02C6"/>
    <w:rsid w:val="005C1B17"/>
    <w:rsid w:val="005D6F92"/>
    <w:rsid w:val="005E302E"/>
    <w:rsid w:val="005E46FB"/>
    <w:rsid w:val="005F142A"/>
    <w:rsid w:val="005F1DF7"/>
    <w:rsid w:val="005F50A5"/>
    <w:rsid w:val="00603211"/>
    <w:rsid w:val="0061001D"/>
    <w:rsid w:val="0061301C"/>
    <w:rsid w:val="00620D6E"/>
    <w:rsid w:val="0062219B"/>
    <w:rsid w:val="0062574E"/>
    <w:rsid w:val="006264E8"/>
    <w:rsid w:val="0064545F"/>
    <w:rsid w:val="00650A29"/>
    <w:rsid w:val="00655B3C"/>
    <w:rsid w:val="00686347"/>
    <w:rsid w:val="00695576"/>
    <w:rsid w:val="00695AFF"/>
    <w:rsid w:val="006B3413"/>
    <w:rsid w:val="006C5D33"/>
    <w:rsid w:val="006D5C6C"/>
    <w:rsid w:val="006D61F5"/>
    <w:rsid w:val="006E12FA"/>
    <w:rsid w:val="00754B2F"/>
    <w:rsid w:val="007610F3"/>
    <w:rsid w:val="00771E53"/>
    <w:rsid w:val="00786A48"/>
    <w:rsid w:val="007938EB"/>
    <w:rsid w:val="007A0B33"/>
    <w:rsid w:val="007A16FC"/>
    <w:rsid w:val="007C6964"/>
    <w:rsid w:val="007D22CF"/>
    <w:rsid w:val="007D47BD"/>
    <w:rsid w:val="007E7FBF"/>
    <w:rsid w:val="007F3137"/>
    <w:rsid w:val="007F44CD"/>
    <w:rsid w:val="007F690B"/>
    <w:rsid w:val="00814AC1"/>
    <w:rsid w:val="008524FB"/>
    <w:rsid w:val="00876BAB"/>
    <w:rsid w:val="00897D8B"/>
    <w:rsid w:val="008B662C"/>
    <w:rsid w:val="008E075B"/>
    <w:rsid w:val="00901010"/>
    <w:rsid w:val="00906E87"/>
    <w:rsid w:val="0091420B"/>
    <w:rsid w:val="009209B2"/>
    <w:rsid w:val="00925D71"/>
    <w:rsid w:val="009266BE"/>
    <w:rsid w:val="0094034E"/>
    <w:rsid w:val="00957519"/>
    <w:rsid w:val="00971796"/>
    <w:rsid w:val="009727D7"/>
    <w:rsid w:val="00981381"/>
    <w:rsid w:val="009E755C"/>
    <w:rsid w:val="009F570A"/>
    <w:rsid w:val="00A0792D"/>
    <w:rsid w:val="00A31844"/>
    <w:rsid w:val="00A51154"/>
    <w:rsid w:val="00A74DE8"/>
    <w:rsid w:val="00A91F36"/>
    <w:rsid w:val="00A91F77"/>
    <w:rsid w:val="00A956EE"/>
    <w:rsid w:val="00AB4E09"/>
    <w:rsid w:val="00AC1755"/>
    <w:rsid w:val="00AC1ACD"/>
    <w:rsid w:val="00AC6C68"/>
    <w:rsid w:val="00AE45A6"/>
    <w:rsid w:val="00B51679"/>
    <w:rsid w:val="00B53996"/>
    <w:rsid w:val="00B56765"/>
    <w:rsid w:val="00B60F03"/>
    <w:rsid w:val="00B70DC1"/>
    <w:rsid w:val="00B766D8"/>
    <w:rsid w:val="00B818D7"/>
    <w:rsid w:val="00B95D07"/>
    <w:rsid w:val="00B95EBE"/>
    <w:rsid w:val="00BB0B00"/>
    <w:rsid w:val="00BB7DE9"/>
    <w:rsid w:val="00BC4304"/>
    <w:rsid w:val="00BE2517"/>
    <w:rsid w:val="00BF1B0B"/>
    <w:rsid w:val="00BF6D76"/>
    <w:rsid w:val="00C15933"/>
    <w:rsid w:val="00C33B2B"/>
    <w:rsid w:val="00C70CD7"/>
    <w:rsid w:val="00C71A5B"/>
    <w:rsid w:val="00C85368"/>
    <w:rsid w:val="00C97817"/>
    <w:rsid w:val="00CC09F9"/>
    <w:rsid w:val="00CE4CEC"/>
    <w:rsid w:val="00CF3F25"/>
    <w:rsid w:val="00CF678C"/>
    <w:rsid w:val="00D05037"/>
    <w:rsid w:val="00D05A80"/>
    <w:rsid w:val="00D417BC"/>
    <w:rsid w:val="00D50EA4"/>
    <w:rsid w:val="00D578A3"/>
    <w:rsid w:val="00D645DB"/>
    <w:rsid w:val="00D66B65"/>
    <w:rsid w:val="00D84A9F"/>
    <w:rsid w:val="00D84B2B"/>
    <w:rsid w:val="00D87827"/>
    <w:rsid w:val="00DA20CC"/>
    <w:rsid w:val="00DB2699"/>
    <w:rsid w:val="00DB72F5"/>
    <w:rsid w:val="00DD468B"/>
    <w:rsid w:val="00DE0C94"/>
    <w:rsid w:val="00DE4B57"/>
    <w:rsid w:val="00DF7B92"/>
    <w:rsid w:val="00E00987"/>
    <w:rsid w:val="00E039AC"/>
    <w:rsid w:val="00E20ED0"/>
    <w:rsid w:val="00E2453B"/>
    <w:rsid w:val="00E518D3"/>
    <w:rsid w:val="00E55EED"/>
    <w:rsid w:val="00E55F26"/>
    <w:rsid w:val="00E60809"/>
    <w:rsid w:val="00E63479"/>
    <w:rsid w:val="00E75335"/>
    <w:rsid w:val="00E860E1"/>
    <w:rsid w:val="00E91610"/>
    <w:rsid w:val="00ED1447"/>
    <w:rsid w:val="00EE2600"/>
    <w:rsid w:val="00EE646A"/>
    <w:rsid w:val="00EF5637"/>
    <w:rsid w:val="00EF6C5F"/>
    <w:rsid w:val="00F32AAE"/>
    <w:rsid w:val="00F32EFF"/>
    <w:rsid w:val="00F36CB4"/>
    <w:rsid w:val="00F43906"/>
    <w:rsid w:val="00F47DEE"/>
    <w:rsid w:val="00F53819"/>
    <w:rsid w:val="00F911CF"/>
    <w:rsid w:val="00F97E33"/>
    <w:rsid w:val="00FB18DD"/>
    <w:rsid w:val="00FB54B9"/>
    <w:rsid w:val="00FC260D"/>
    <w:rsid w:val="00FD3A1E"/>
    <w:rsid w:val="00FD4BBE"/>
    <w:rsid w:val="00FD6654"/>
    <w:rsid w:val="00FF7783"/>
    <w:rsid w:val="05302DAB"/>
    <w:rsid w:val="15314ED2"/>
    <w:rsid w:val="25F16950"/>
    <w:rsid w:val="2B1A1896"/>
    <w:rsid w:val="4007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0"/>
    <w:pPr>
      <w:widowControl/>
      <w:wordWrap w:val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character" w:customStyle="1" w:styleId="11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uiPriority w:val="99"/>
    <w:rPr>
      <w:sz w:val="18"/>
      <w:szCs w:val="18"/>
    </w:rPr>
  </w:style>
  <w:style w:type="character" w:customStyle="1" w:styleId="14">
    <w:name w:val="副标题 字符"/>
    <w:basedOn w:val="9"/>
    <w:link w:val="6"/>
    <w:qFormat/>
    <w:uiPriority w:val="11"/>
    <w:rPr>
      <w:b/>
      <w:bCs/>
      <w:kern w:val="28"/>
      <w:sz w:val="32"/>
      <w:szCs w:val="32"/>
    </w:rPr>
  </w:style>
  <w:style w:type="character" w:customStyle="1" w:styleId="15">
    <w:name w:val="标题 2 字符"/>
    <w:basedOn w:val="9"/>
    <w:link w:val="2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6">
    <w:name w:val="List Paragraph"/>
    <w:basedOn w:val="1"/>
    <w:uiPriority w:val="99"/>
    <w:pPr>
      <w:ind w:firstLine="420" w:firstLineChars="200"/>
    </w:p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598</Words>
  <Characters>654</Characters>
  <Lines>7</Lines>
  <Paragraphs>2</Paragraphs>
  <TotalTime>1569</TotalTime>
  <ScaleCrop>false</ScaleCrop>
  <LinksUpToDate>false</LinksUpToDate>
  <CharactersWithSpaces>661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2017-06-22T01:43:00Z</dcterms:created>
  <dc:creator>snai</dc:creator>
  <cp:lastModifiedBy>Takashi</cp:lastModifiedBy>
  <cp:lastPrinted>2017-06-22T07:11:00Z</cp:lastPrinted>
  <dcterms:modified xsi:type="dcterms:W3CDTF">2026-05-03T00:08:28Z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eyJoZGlkIjoiN2U3Y2Y4ODU5NDMyZGQ3NTI2ZWZiMjM0Njk0YTUyZGEiLCJ1c2VySWQiOiIyOTkxOTI0MjEifQ==</vt:lpwstr>
  </property>
  <property fmtid="{D5CDD505-2E9C-101B-9397-08002B2CF9AE}" pid="4" name="ICV">
    <vt:lpwstr>793D93163BD04809B678F9C3F486CC95_13</vt:lpwstr>
  </property>
</Properties>
</file>