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F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附件3</w:t>
      </w:r>
    </w:p>
    <w:p w14:paraId="3CFEC2C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p>
    <w:p w14:paraId="190B16F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年报审计服务采购需求</w:t>
      </w:r>
      <w:r>
        <w:rPr>
          <w:rFonts w:hint="eastAsia" w:ascii="方正小标宋简体" w:hAnsi="方正小标宋简体" w:eastAsia="方正小标宋简体" w:cs="方正小标宋简体"/>
          <w:color w:val="auto"/>
          <w:sz w:val="44"/>
          <w:szCs w:val="44"/>
          <w:highlight w:val="none"/>
          <w:lang w:val="en-US" w:eastAsia="zh-CN"/>
        </w:rPr>
        <w:t>标准指引</w:t>
      </w:r>
    </w:p>
    <w:p w14:paraId="2C8DF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p>
    <w:p w14:paraId="6DF19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总则</w:t>
      </w:r>
    </w:p>
    <w:p w14:paraId="16BF4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第一条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制定目的与依据</w:t>
      </w:r>
    </w:p>
    <w:p w14:paraId="47FFCF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为规范使用财政性资金采购年报审计服务的行为，科学设定采购需求，提升采购质量与财政资金使用效益，强化财会监督效能，根据</w:t>
      </w:r>
      <w:r>
        <w:rPr>
          <w:rFonts w:hint="eastAsia" w:ascii="仿宋_GB2312" w:hAnsi="仿宋_GB2312" w:eastAsia="仿宋_GB2312" w:cs="仿宋_GB2312"/>
          <w:color w:val="auto"/>
          <w:sz w:val="32"/>
          <w:szCs w:val="32"/>
          <w:highlight w:val="none"/>
          <w:lang w:val="en-US" w:eastAsia="zh-CN"/>
        </w:rPr>
        <w:t>《政府采购需求管理办法》（财库〔2021〕22号）、《深圳经济特区政府采购条例》及其实施细则、</w:t>
      </w:r>
      <w:r>
        <w:rPr>
          <w:rFonts w:hint="eastAsia" w:ascii="仿宋_GB2312" w:hAnsi="仿宋_GB2312" w:eastAsia="仿宋_GB2312" w:cs="仿宋_GB2312"/>
          <w:color w:val="auto"/>
          <w:sz w:val="32"/>
          <w:szCs w:val="32"/>
          <w:highlight w:val="none"/>
          <w:lang w:eastAsia="zh-CN"/>
        </w:rPr>
        <w:t>《政府购买服务管理办法》（财政部令第102号）以及《财政部关于进一步加强政府采购需求和履约验收管理的指导意见》（财库〔2016〕205号）</w:t>
      </w:r>
      <w:r>
        <w:rPr>
          <w:rFonts w:hint="eastAsia" w:ascii="仿宋_GB2312" w:hAnsi="仿宋_GB2312" w:eastAsia="仿宋_GB2312" w:cs="仿宋_GB2312"/>
          <w:color w:val="auto"/>
          <w:sz w:val="32"/>
          <w:szCs w:val="32"/>
          <w:highlight w:val="none"/>
          <w:lang w:val="en-US" w:eastAsia="zh-CN"/>
        </w:rPr>
        <w:t>等国家政策法规要求</w:t>
      </w:r>
      <w:r>
        <w:rPr>
          <w:rFonts w:hint="eastAsia" w:ascii="仿宋_GB2312" w:hAnsi="仿宋_GB2312" w:eastAsia="仿宋_GB2312" w:cs="仿宋_GB2312"/>
          <w:color w:val="auto"/>
          <w:sz w:val="32"/>
          <w:szCs w:val="32"/>
          <w:highlight w:val="none"/>
          <w:lang w:eastAsia="zh-CN"/>
        </w:rPr>
        <w:t>，结合《中国注册会计师审计准则》等执业规范，制定本</w:t>
      </w:r>
      <w:r>
        <w:rPr>
          <w:rFonts w:hint="eastAsia" w:ascii="仿宋_GB2312" w:hAnsi="仿宋_GB2312" w:eastAsia="仿宋_GB2312" w:cs="仿宋_GB2312"/>
          <w:color w:val="auto"/>
          <w:sz w:val="32"/>
          <w:szCs w:val="32"/>
          <w:highlight w:val="none"/>
          <w:lang w:val="en-US" w:eastAsia="zh-CN"/>
        </w:rPr>
        <w:t>采购需求标准</w:t>
      </w:r>
      <w:r>
        <w:rPr>
          <w:rFonts w:hint="eastAsia" w:ascii="仿宋_GB2312" w:hAnsi="仿宋_GB2312" w:eastAsia="仿宋_GB2312" w:cs="仿宋_GB2312"/>
          <w:color w:val="auto"/>
          <w:sz w:val="32"/>
          <w:szCs w:val="32"/>
          <w:highlight w:val="none"/>
          <w:lang w:eastAsia="zh-CN"/>
        </w:rPr>
        <w:t>指引。</w:t>
      </w:r>
    </w:p>
    <w:p w14:paraId="7237B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第二条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适用范围</w:t>
      </w:r>
    </w:p>
    <w:p w14:paraId="354815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指引适用于本市各级财政部门、预算单位、履行出资人职责的部门及国有资产监督管理机构（以下简称“采购人”），使用财政性资金，通过政府采购程序，委托会计师事务所对各类被审计单位（包括但不限于国有企业、行政事业单位、社会团体、民办非企业单位及其他适用财政监管的组织）年度财务报表进行审计服务的采购活动。</w:t>
      </w:r>
    </w:p>
    <w:p w14:paraId="55AF6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采购人应依据本指引框架，结合具体审计项目的实际情况和特点，进一步细化、明确采购需求。</w:t>
      </w:r>
    </w:p>
    <w:p w14:paraId="74491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第三条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基本原则</w:t>
      </w:r>
    </w:p>
    <w:p w14:paraId="027933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采购人在起草具体项目采购需求时，应遵循以下原则：</w:t>
      </w:r>
    </w:p>
    <w:p w14:paraId="3557C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合法性原则：采购需求的内容、设定的供应商资格条件及评审标准，必须符合国家法律法规、政府采购政策及财经纪律的规定。</w:t>
      </w:r>
    </w:p>
    <w:p w14:paraId="43D6B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质量导向原则：采购需求的设定应引导市场竞争聚焦于服务质量与专业能力。在评审指引中，应赋予技术、服务方案及供应商履约能力等因素合理权重。</w:t>
      </w:r>
    </w:p>
    <w:p w14:paraId="431DA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明确性原则：需求应清晰、准确、完整地描述所需审计服务的范围、内容、标准、成果及交付要求，避免歧义，便于供应商准确响应和后续履约验收。</w:t>
      </w:r>
    </w:p>
    <w:p w14:paraId="5A8DE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针对性原则：应根据被审计单位的性质（如企业、行政事业、社会组织）、行业特点、规模大小、监管重点及采购具体目的（如法定年报审计、绩效评价基础、专项资金审查等），差异化地明确审计重点、团队资质和成果深度。</w:t>
      </w:r>
    </w:p>
    <w:p w14:paraId="008B81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服务要求</w:t>
      </w:r>
    </w:p>
    <w:p w14:paraId="5458A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第四条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服务目标</w:t>
      </w:r>
    </w:p>
    <w:p w14:paraId="527373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通过采购年报审计服务，采购人应获得符合执业准则要求、能够满足特定监管或管理需要的审计成果。具体服务应达成以下结果：</w:t>
      </w:r>
    </w:p>
    <w:p w14:paraId="48D43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发表独立审计意见：获得会计师事务所对被审计单位[特定年度]财务报表（通常包括资产负债表、利润表、现金流量表、所有者权益变动表及财务报表附注）是否在所有重大方面按照适用的财务报告编制基础（如《企业会计准则》《政府会计制度》《民间非营利组织会计制度》等）编制，是否公允反映其财务状况、经营成果和现金流量的标准无保留意见审计报告，或对非无保留意见的类型、理由进行清晰说明的审计报告。</w:t>
      </w:r>
    </w:p>
    <w:p w14:paraId="5E1EC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识别关键审计事项：在审计报告中获取针对财务报表审计最为重要的事项（关键审计事项）的清晰描述、审计应对及结论。</w:t>
      </w:r>
    </w:p>
    <w:p w14:paraId="22C24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揭示重大错报风险与问题：通过审计程序，发现财务报表中存在或可能存在的重大错报、会计核算不规范、内部控制重大缺陷、潜在的舞弊或违法违规线索。</w:t>
      </w:r>
    </w:p>
    <w:p w14:paraId="2D41E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提供专业管理建议：获得针对审计过程中发现的财务管理、内部控制及业务运营方面的薄弱环节与风险点，提出具体、可操作的专业改进建议。</w:t>
      </w:r>
    </w:p>
    <w:p w14:paraId="4B578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第五条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服务范围</w:t>
      </w:r>
      <w:r>
        <w:rPr>
          <w:rFonts w:hint="eastAsia" w:ascii="楷体_GB2312" w:hAnsi="楷体_GB2312" w:eastAsia="楷体_GB2312" w:cs="楷体_GB2312"/>
          <w:color w:val="auto"/>
          <w:sz w:val="32"/>
          <w:szCs w:val="32"/>
          <w:highlight w:val="none"/>
          <w:lang w:val="en-US" w:eastAsia="zh-CN"/>
        </w:rPr>
        <w:t>与具体内容</w:t>
      </w:r>
    </w:p>
    <w:p w14:paraId="2E165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人编制采购需求，应明确年报审计服务必须覆盖的核心领域与重点内容，明确采购的项目名称、项目单位、资产总额、所属行业、收入总额、项目背景与依据、采购目标与预期成果、项目预算、任务清单等关键信息。审计范围应包括被审计单位及其所有重要的子公司、分支机构，并且应列示具体的数量、资金情况、地理位置等。</w:t>
      </w:r>
    </w:p>
    <w:p w14:paraId="5D23F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具体内容应依据被审计单位类型予以明确：</w:t>
      </w:r>
    </w:p>
    <w:p w14:paraId="0BF1B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通用审计核心内容（所有类型均应涵盖）：</w:t>
      </w:r>
    </w:p>
    <w:p w14:paraId="6D4B3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对年度财务报表各要素（资产、负债、所有者权益/净资产、收入、费用/支出、利润等）的真实性、完整性、准确性、合规性进行审计。</w:t>
      </w:r>
    </w:p>
    <w:p w14:paraId="25F6E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对财务报表编制是否符合适用的会计准则和会计制度进行审计。</w:t>
      </w:r>
    </w:p>
    <w:p w14:paraId="3829E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对财务报表披露的充分性和适当性进行审计。</w:t>
      </w:r>
    </w:p>
    <w:p w14:paraId="679EB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对与财务报表相关的内部控制进行必要的了解和测试，评估其有效性。</w:t>
      </w:r>
    </w:p>
    <w:p w14:paraId="21EA8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执行充分的实质性程序，包括但不限于：检查记录和文件、函证、观察、重新计算、分析程序等，以获取充分、适当的审计证据。</w:t>
      </w:r>
    </w:p>
    <w:p w14:paraId="5168E7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2.分类审计重点关注领域（应根据被审计单位类型选择并细化）：</w:t>
      </w:r>
    </w:p>
    <w:p w14:paraId="62D392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国有及国有控股企业：审计需求应强调对国有资本保值增值、经营业绩真实性、重大投资与资产处置（“三重一大”）决策程序的合规性、国有资产（含无形资产）管理效益、关联方交易公允性，以及贯彻执行国家产业与金融政策情况等方面的关注。</w:t>
      </w:r>
    </w:p>
    <w:p w14:paraId="3B663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行政事业单位：审计需求应强调对预算编制与执行的合规性与约束力、财政资金使用的经济性、效率性和效益性、政府采购政策执行情况、行政事业性国有资产（包括公共基础设施、保障性住房等）的配置、使用和处置管理、落实“过紧日子”要求及“三公”经费支出情况等方面的关注。</w:t>
      </w:r>
    </w:p>
    <w:p w14:paraId="17E8E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社会团体</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民办非企业单位等社会组织：审计需求应强调对财政补助资金、捐赠收入的来源合规性与使用公益性、业务活动成本的准确性、项目资金专款专用情况、是否符合《民间非营利组织会计制度》及章程规定等方面的关注。</w:t>
      </w:r>
    </w:p>
    <w:p w14:paraId="28210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其他适用情形：审计需求除常规内容外，应结合采购目的，明确对特定政府补助资金的使用情况与效果、税务合规性、劳动保障政策执行情况</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合同约定业绩指标完成情况等的审计要求。</w:t>
      </w:r>
    </w:p>
    <w:p w14:paraId="58066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3.项目名称：采购人需要明确采购项目名称、具体数量、被审计单位收入情况、资金情况、资产情况、所属行业、地理位置等，采购项目名称应具体为“被审计单位名称+审计年份+审计项目类型”。</w:t>
      </w:r>
    </w:p>
    <w:p w14:paraId="09E6C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4.项目背景与依据：简要阐述开展本次采购的缘由、政策或现实依据。</w:t>
      </w:r>
    </w:p>
    <w:p w14:paraId="77751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5.采购目标与预期成果：简要阐述开展本次采购的核心目的以及预期成果。</w:t>
      </w:r>
    </w:p>
    <w:p w14:paraId="56F220C0">
      <w:pPr>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6.项目预算：明确本次采购总预算或最高限价。</w:t>
      </w:r>
    </w:p>
    <w:p w14:paraId="5E582C7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任务清单：明确所有需要供应商完成的工作任务清单，即具体成果报告的数量。对于年报审计项目，应明确是合并报表、单体报表，或者是合并报表+单体报表等形式的审计。对于被审计单位及其所有重要的子公司、分支机构，应明确是否需要单独出具报告。</w:t>
      </w:r>
    </w:p>
    <w:p w14:paraId="21EF6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第六条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审计程序</w:t>
      </w:r>
    </w:p>
    <w:p w14:paraId="61A8CF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采购需求中应明确对审计程序执行的基本要求，以确保审计质量：</w:t>
      </w:r>
    </w:p>
    <w:p w14:paraId="2A4B1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风险评估程序：供应商必须执行充分的风险评估程序，识别和评估财务报表层次和认定层次的重大错报风险，并据此制定总体审计策略和具体审计计划。</w:t>
      </w:r>
    </w:p>
    <w:p w14:paraId="103AE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进一步审计程序：必须针对评估的重大错报风险设计和实施恰当的进一步审计程序，包括控制测试和实质性程序。实质性程序应覆盖重要账户余额、交易类别和披露。</w:t>
      </w:r>
    </w:p>
    <w:p w14:paraId="7F1E0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审计证据：所有审计结论必须基于获取的充分、适当的审计证据。采购需求可强调对重要资产（如存货、固定资产）监盘、对大额往来款项函证、对重要交易和余额执行细节测试等关键程序的要求。</w:t>
      </w:r>
    </w:p>
    <w:p w14:paraId="6D360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技术应用：鼓励供应商在审计中运用数据分析、信息技术审计工具等现代审计方法。对于信息化程度较高的被审计单位，采购人可提出对信息系统一般控制和应用控制进行必要测试的要求。</w:t>
      </w:r>
    </w:p>
    <w:p w14:paraId="6DEA0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.合并范围与延伸审计：审计范围必须覆盖被审计单位及所有重要子公司、分支机构。对纳入合并报表范围的实体，应根据其财务重要性，执行充分的审计或审阅程序。</w:t>
      </w:r>
    </w:p>
    <w:p w14:paraId="4BAB6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供应商要求</w:t>
      </w:r>
    </w:p>
    <w:p w14:paraId="059FC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第七条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供应商资格条件</w:t>
      </w:r>
    </w:p>
    <w:p w14:paraId="60D0B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1.具备有效的</w:t>
      </w:r>
      <w:r>
        <w:rPr>
          <w:rFonts w:hint="eastAsia" w:ascii="仿宋_GB2312" w:hAnsi="仿宋_GB2312" w:eastAsia="仿宋_GB2312" w:cs="仿宋_GB2312"/>
          <w:color w:val="auto"/>
          <w:sz w:val="32"/>
          <w:szCs w:val="32"/>
          <w:highlight w:val="none"/>
          <w:lang w:val="en-US" w:eastAsia="zh-CN"/>
        </w:rPr>
        <w:t>营业执照、</w:t>
      </w:r>
      <w:r>
        <w:rPr>
          <w:rFonts w:hint="eastAsia" w:ascii="仿宋_GB2312" w:hAnsi="仿宋_GB2312" w:eastAsia="仿宋_GB2312" w:cs="仿宋_GB2312"/>
          <w:color w:val="auto"/>
          <w:sz w:val="32"/>
          <w:szCs w:val="32"/>
          <w:highlight w:val="none"/>
          <w:lang w:eastAsia="zh-CN"/>
        </w:rPr>
        <w:t>会计师事务所执业证书，并合法正常执业。</w:t>
      </w:r>
    </w:p>
    <w:p w14:paraId="35BC2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2.具有良好的商业信誉和健全的财务会计制度。</w:t>
      </w:r>
    </w:p>
    <w:p w14:paraId="4B22C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3.参加政府采购活动前三年内，</w:t>
      </w:r>
      <w:r>
        <w:rPr>
          <w:rFonts w:hint="eastAsia" w:ascii="仿宋_GB2312" w:hAnsi="仿宋_GB2312" w:eastAsia="仿宋_GB2312" w:cs="仿宋_GB2312"/>
          <w:color w:val="auto"/>
          <w:sz w:val="32"/>
          <w:szCs w:val="32"/>
          <w:highlight w:val="none"/>
          <w:lang w:val="en-US" w:eastAsia="zh-CN"/>
        </w:rPr>
        <w:t>通过“中国注册会计师协会行业管理信息系统”查询</w:t>
      </w:r>
      <w:r>
        <w:rPr>
          <w:rFonts w:hint="eastAsia" w:ascii="仿宋_GB2312" w:hAnsi="仿宋_GB2312" w:eastAsia="仿宋_GB2312" w:cs="仿宋_GB2312"/>
          <w:color w:val="auto"/>
          <w:sz w:val="32"/>
          <w:szCs w:val="32"/>
          <w:highlight w:val="none"/>
          <w:lang w:eastAsia="zh-CN"/>
        </w:rPr>
        <w:t>未受到行业自律惩戒，</w:t>
      </w:r>
      <w:r>
        <w:rPr>
          <w:rFonts w:hint="eastAsia" w:ascii="仿宋_GB2312" w:hAnsi="仿宋_GB2312" w:eastAsia="仿宋_GB2312" w:cs="仿宋_GB2312"/>
          <w:color w:val="auto"/>
          <w:sz w:val="32"/>
          <w:szCs w:val="32"/>
          <w:highlight w:val="none"/>
          <w:lang w:val="en-US" w:eastAsia="zh-CN"/>
        </w:rPr>
        <w:t>且通过“信用中国”等政府官方网站公开查询，</w:t>
      </w:r>
      <w:r>
        <w:rPr>
          <w:rFonts w:hint="eastAsia" w:ascii="仿宋_GB2312" w:hAnsi="仿宋_GB2312" w:eastAsia="仿宋_GB2312" w:cs="仿宋_GB2312"/>
          <w:color w:val="auto"/>
          <w:sz w:val="32"/>
          <w:szCs w:val="32"/>
          <w:highlight w:val="none"/>
          <w:lang w:eastAsia="zh-CN"/>
        </w:rPr>
        <w:t>在经营活动中没有重大违法记录</w:t>
      </w:r>
      <w:r>
        <w:rPr>
          <w:rFonts w:hint="eastAsia"/>
          <w:color w:val="auto"/>
          <w:highlight w:val="none"/>
          <w:lang w:eastAsia="zh-CN"/>
        </w:rPr>
        <w:t>，</w:t>
      </w:r>
      <w:r>
        <w:rPr>
          <w:rFonts w:hint="eastAsia" w:ascii="仿宋_GB2312" w:hAnsi="仿宋_GB2312" w:eastAsia="仿宋_GB2312" w:cs="仿宋_GB2312"/>
          <w:color w:val="auto"/>
          <w:sz w:val="32"/>
          <w:szCs w:val="32"/>
          <w:highlight w:val="none"/>
          <w:lang w:val="en-US" w:eastAsia="zh-CN"/>
        </w:rPr>
        <w:t>未被列入失信被执行人、重大税收违法案件当事人名单（重大税收违法失信主体）、政府采购严重违法失信行为记录名单等。</w:t>
      </w:r>
    </w:p>
    <w:p w14:paraId="66CE7D3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4.采购人可以根据实际情况，补充其他必要的资格条件。</w:t>
      </w:r>
    </w:p>
    <w:p w14:paraId="2422C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第四章</w:t>
      </w:r>
      <w:r>
        <w:rPr>
          <w:rFonts w:hint="eastAsia" w:ascii="黑体" w:hAnsi="黑体" w:eastAsia="黑体" w:cs="黑体"/>
          <w:color w:val="auto"/>
          <w:sz w:val="32"/>
          <w:szCs w:val="32"/>
          <w:highlight w:val="none"/>
          <w:lang w:val="en-US" w:eastAsia="zh-CN"/>
        </w:rPr>
        <w:t xml:space="preserve"> 技术</w:t>
      </w:r>
      <w:r>
        <w:rPr>
          <w:rFonts w:hint="eastAsia" w:ascii="黑体" w:hAnsi="黑体" w:eastAsia="黑体" w:cs="黑体"/>
          <w:color w:val="auto"/>
          <w:sz w:val="32"/>
          <w:szCs w:val="32"/>
          <w:highlight w:val="none"/>
          <w:lang w:eastAsia="zh-CN"/>
        </w:rPr>
        <w:t>要求</w:t>
      </w:r>
    </w:p>
    <w:p w14:paraId="3DB40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w:t>
      </w:r>
      <w:r>
        <w:rPr>
          <w:rFonts w:hint="eastAsia" w:ascii="楷体_GB2312" w:hAnsi="楷体_GB2312" w:eastAsia="楷体_GB2312" w:cs="楷体_GB2312"/>
          <w:color w:val="auto"/>
          <w:sz w:val="32"/>
          <w:szCs w:val="32"/>
          <w:highlight w:val="none"/>
          <w:lang w:val="en-US" w:eastAsia="zh-CN"/>
        </w:rPr>
        <w:t>八</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成果交付要求</w:t>
      </w:r>
    </w:p>
    <w:p w14:paraId="16960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采购人与供应商应在合同约定的时间内交付以下成果（应明确纸质版份数及可编辑电子版格式要求）：</w:t>
      </w:r>
    </w:p>
    <w:p w14:paraId="43DA4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32"/>
          <w:szCs w:val="32"/>
          <w:highlight w:val="none"/>
          <w:lang w:eastAsia="zh-CN"/>
        </w:rPr>
        <w:t>年度财务报表审计报告》：正式稿，一式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份。报告格式、意见类型及披露必须严格遵循《中国注册会计师审计准则》的</w:t>
      </w:r>
      <w:r>
        <w:rPr>
          <w:rFonts w:hint="eastAsia" w:ascii="仿宋_GB2312" w:hAnsi="仿宋_GB2312" w:eastAsia="仿宋_GB2312" w:cs="仿宋_GB2312"/>
          <w:color w:val="auto"/>
          <w:sz w:val="32"/>
          <w:szCs w:val="32"/>
          <w:highlight w:val="none"/>
          <w:lang w:val="en-US" w:eastAsia="zh-CN"/>
        </w:rPr>
        <w:t>有关</w:t>
      </w:r>
      <w:r>
        <w:rPr>
          <w:rFonts w:hint="eastAsia" w:ascii="仿宋_GB2312" w:hAnsi="仿宋_GB2312" w:eastAsia="仿宋_GB2312" w:cs="仿宋_GB2312"/>
          <w:color w:val="auto"/>
          <w:sz w:val="32"/>
          <w:szCs w:val="32"/>
          <w:highlight w:val="none"/>
          <w:lang w:eastAsia="zh-CN"/>
        </w:rPr>
        <w:t>规定。</w:t>
      </w:r>
    </w:p>
    <w:p w14:paraId="26E7B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w:t>
      </w:r>
      <w:r>
        <w:rPr>
          <w:rFonts w:hint="eastAsia" w:ascii="楷体_GB2312" w:hAnsi="楷体_GB2312" w:eastAsia="楷体_GB2312" w:cs="楷体_GB2312"/>
          <w:color w:val="auto"/>
          <w:sz w:val="32"/>
          <w:szCs w:val="32"/>
          <w:highlight w:val="none"/>
          <w:lang w:val="en-US" w:eastAsia="zh-CN"/>
        </w:rPr>
        <w:t>九</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人员</w:t>
      </w:r>
      <w:r>
        <w:rPr>
          <w:rFonts w:hint="eastAsia" w:ascii="楷体_GB2312" w:hAnsi="楷体_GB2312" w:eastAsia="楷体_GB2312" w:cs="楷体_GB2312"/>
          <w:color w:val="auto"/>
          <w:sz w:val="32"/>
          <w:szCs w:val="32"/>
          <w:highlight w:val="none"/>
          <w:lang w:eastAsia="zh-CN"/>
        </w:rPr>
        <w:t>配置要求</w:t>
      </w:r>
    </w:p>
    <w:p w14:paraId="75E61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供应商必须组建稳定、专业的项目团队，并提供</w:t>
      </w:r>
      <w:r>
        <w:rPr>
          <w:rFonts w:hint="eastAsia" w:ascii="仿宋_GB2312" w:hAnsi="仿宋_GB2312" w:eastAsia="仿宋_GB2312" w:cs="仿宋_GB2312"/>
          <w:color w:val="auto"/>
          <w:sz w:val="32"/>
          <w:szCs w:val="32"/>
          <w:highlight w:val="none"/>
          <w:lang w:val="en-US" w:eastAsia="zh-CN"/>
        </w:rPr>
        <w:t>团队</w:t>
      </w:r>
      <w:r>
        <w:rPr>
          <w:rFonts w:hint="eastAsia" w:ascii="仿宋_GB2312" w:hAnsi="仿宋_GB2312" w:eastAsia="仿宋_GB2312" w:cs="仿宋_GB2312"/>
          <w:color w:val="auto"/>
          <w:sz w:val="32"/>
          <w:szCs w:val="32"/>
          <w:highlight w:val="none"/>
          <w:lang w:eastAsia="zh-CN"/>
        </w:rPr>
        <w:t>成员的详细资料与承诺。</w:t>
      </w:r>
    </w:p>
    <w:p w14:paraId="4BD5F76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项目负责人：至少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名。</w:t>
      </w:r>
    </w:p>
    <w:p w14:paraId="20EB7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.团队构成：</w:t>
      </w:r>
      <w:r>
        <w:rPr>
          <w:rFonts w:hint="eastAsia" w:ascii="仿宋_GB2312" w:hAnsi="仿宋_GB2312" w:eastAsia="仿宋_GB2312" w:cs="仿宋_GB2312"/>
          <w:color w:val="auto"/>
          <w:sz w:val="32"/>
          <w:szCs w:val="32"/>
          <w:highlight w:val="none"/>
          <w:lang w:val="en-US" w:eastAsia="zh-CN"/>
        </w:rPr>
        <w:t>项目团队的人员数量、专业结构（如会计、审计、税务、信息技术等）应与审计项目的规模、复杂程度相匹配。</w:t>
      </w:r>
    </w:p>
    <w:p w14:paraId="2F2A5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.独立性承诺：</w:t>
      </w:r>
      <w:r>
        <w:rPr>
          <w:rFonts w:hint="eastAsia" w:ascii="仿宋_GB2312" w:hAnsi="仿宋_GB2312" w:eastAsia="仿宋_GB2312" w:cs="仿宋_GB2312"/>
          <w:color w:val="auto"/>
          <w:sz w:val="32"/>
          <w:szCs w:val="32"/>
          <w:highlight w:val="none"/>
        </w:rPr>
        <w:t>审计机构及其人员</w:t>
      </w:r>
      <w:r>
        <w:rPr>
          <w:rFonts w:hint="eastAsia" w:ascii="仿宋_GB2312" w:hAnsi="仿宋_GB2312" w:eastAsia="仿宋_GB2312" w:cs="仿宋_GB2312"/>
          <w:color w:val="auto"/>
          <w:sz w:val="32"/>
          <w:szCs w:val="32"/>
          <w:highlight w:val="none"/>
          <w:lang w:val="en-US" w:eastAsia="zh-CN"/>
        </w:rPr>
        <w:t>应当恪守独立性原则，</w:t>
      </w:r>
      <w:r>
        <w:rPr>
          <w:rFonts w:hint="eastAsia" w:ascii="仿宋_GB2312" w:hAnsi="仿宋_GB2312" w:eastAsia="仿宋_GB2312" w:cs="仿宋_GB2312"/>
          <w:color w:val="auto"/>
          <w:sz w:val="32"/>
          <w:szCs w:val="32"/>
          <w:highlight w:val="none"/>
        </w:rPr>
        <w:t>不得与委托单位或被审计单位存在可能影响独立性的经济利益、关联关系或其他情形。</w:t>
      </w:r>
    </w:p>
    <w:p w14:paraId="52E4B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商务要求</w:t>
      </w:r>
    </w:p>
    <w:p w14:paraId="1D6DF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第十条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服务期限</w:t>
      </w:r>
    </w:p>
    <w:p w14:paraId="32D11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采购人应在采购需求编制时明确具体的服务期限，即服务的起止时间。具体服务期限可参考以下示例：</w:t>
      </w:r>
    </w:p>
    <w:p w14:paraId="771D8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1.本项目合同服务期为自合同签订之日起**个工作日/月内完成。</w:t>
      </w:r>
    </w:p>
    <w:p w14:paraId="7B1155A1">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2.本项目合同服务期为自合同签订之日起至202*年**月**日。</w:t>
      </w:r>
    </w:p>
    <w:p w14:paraId="13D03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sz w:val="32"/>
          <w:szCs w:val="32"/>
          <w:lang w:val="en-US" w:eastAsia="zh-CN"/>
        </w:rPr>
        <w:t>应对进度计划及时间节点进行明确，</w:t>
      </w:r>
      <w:r>
        <w:rPr>
          <w:rFonts w:hint="eastAsia" w:ascii="仿宋_GB2312" w:hAnsi="仿宋_GB2312" w:eastAsia="仿宋_GB2312" w:cs="仿宋_GB2312"/>
          <w:color w:val="auto"/>
          <w:sz w:val="32"/>
          <w:szCs w:val="32"/>
          <w:highlight w:val="none"/>
          <w:lang w:eastAsia="zh-CN"/>
        </w:rPr>
        <w:t>明确约定审计项目启动、现场审计实施、报告初稿提交、报告最终交付等关键时间节点。</w:t>
      </w:r>
    </w:p>
    <w:p w14:paraId="605BC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第十</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服务地点</w:t>
      </w:r>
    </w:p>
    <w:p w14:paraId="47934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主要服务地点应设于被审计单位所在地。同时，供应商应根据审计工作需要，按照采购人要求，前往与审计事项相关的其他单位、项目现场、关联方所在地等开展必要的延伸审计或调查。</w:t>
      </w:r>
    </w:p>
    <w:p w14:paraId="50A58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第十二条 投标报价要求</w:t>
      </w:r>
    </w:p>
    <w:p w14:paraId="5DC8A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明确投标报价方式，即综合单价报价或总价报价，报价应包括成本、法定税费和相应的利润，应涵盖本项目采购范围和采购文件所列各项内容。由投标人根据采购需求自行测算投标报价，一经中标投标报价即作为中标单位与采购人签订的合同金额。</w:t>
      </w:r>
    </w:p>
    <w:p w14:paraId="2A71D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采购人若有其他报价要求，应予以明确。</w:t>
      </w:r>
    </w:p>
    <w:p w14:paraId="07B68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第十三条 服务费用与付款方式</w:t>
      </w:r>
    </w:p>
    <w:p w14:paraId="0BA2C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采购人应明确项目的服务费用和付款方式。采用分期支付，应明确具体的各期支付的金额及付款条件。</w:t>
      </w:r>
    </w:p>
    <w:p w14:paraId="14435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用：服务费用根据中标价进行确定，以合同金额为准。服务费用应涵盖服务供应商为完成本合同约定的全部工作内容所需的一切成本、费用、税费和合理利润，包括但不限于人工费、差旅费、住宿费、资料费、通讯费、软件使用费等。</w:t>
      </w:r>
    </w:p>
    <w:p w14:paraId="3A3BA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2.付款方式：可采用一次性支付或分期支付。具体支付节点、条件，可根据项目实际情况进行组合与设定：</w:t>
      </w:r>
    </w:p>
    <w:p w14:paraId="397CE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（1）一次性支付：中标单位提交最终项目成果后，向中标单位一次性支付合同价100%的费用。</w:t>
      </w:r>
    </w:p>
    <w:p w14:paraId="43AB5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lang w:val="en-US" w:eastAsia="zh-CN"/>
        </w:rPr>
        <w:t>（2）本项目分**期支付：第一期为合同生效后**个工作日内（提交……），采购人应向中标单位支付合同总费用的**%；第二期为中标单位提交通过审查的最终成果后，采购人应向中标单位支付合同总费用的**%。采购人可根据项目实际情况需要，设置其他分期支付形式。</w:t>
      </w:r>
    </w:p>
    <w:p w14:paraId="29B9A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第十四条 违约责任</w:t>
      </w:r>
    </w:p>
    <w:p w14:paraId="298D3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采购人应按照项目实际，合理设置和调整重要的违约责任条款。</w:t>
      </w:r>
    </w:p>
    <w:p w14:paraId="6145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逾期：中标单位因自身原因逾期提交本合同约定的成果，或逾期履行本合同项下义务。每逾期一天，应向采购人支付合同最高总价*%的违约金。逾期超过**天的，采购人有权解除本合同，中标单位应向采购人支付相当于合同最高总价**%的违约金。</w:t>
      </w:r>
    </w:p>
    <w:p w14:paraId="77ECD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验收不通过：中标单位提供的成果不能通过采购人验收（验收不得与审计结论挂钩）的，采购人应退回成果并要求中标单位修改完善成果，若再次验收仍无法通过的，采购人有权提出正式通知并解除合同，中标单位应向采购人支付相当于合同最高总价**%的违约金，并另行委托其他单位继续开展此项工作。</w:t>
      </w:r>
    </w:p>
    <w:p w14:paraId="48CB0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3.分包：中标单位未经采购人书面同意，将采购人所委托完成的任何工作转包或分包给任何第三人的，采购人有权解除合同，中标单位应向采购人支付相当于合同最高总价**%的违约金。</w:t>
      </w:r>
    </w:p>
    <w:p w14:paraId="462A6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单方无故解约：没有发生审计准则、法律或者合同约定的合同解除事项，若中标单位单方无故解除合同的，除返还采购人全部已支付费用外，还应支付采购人合同最高总价**%的违约金。若采购人单方无故解除合同的，除应向供应商支付已完成工作对应的全额服务费用外，还应向供应商支付相当于合同总价**%的违约金，若违约金不足以弥补供应商实际损失的，采购人还应赔偿差额部分。</w:t>
      </w:r>
    </w:p>
    <w:p w14:paraId="25094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5.其他违约责任：采购人可根据项目实际情况，设置其他违约责任条款。</w:t>
      </w:r>
    </w:p>
    <w:p w14:paraId="3EE0D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第十五条 其他要求</w:t>
      </w:r>
    </w:p>
    <w:p w14:paraId="6AFAD22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采购人编制采购需求时，除了服务期限、服务地点、投标报价要求、服务费用与付款方式、违约责任外，可根据项目实际情况，提出其他要求。</w:t>
      </w:r>
    </w:p>
    <w:p w14:paraId="7D2884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第六章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评审标准建议</w:t>
      </w:r>
    </w:p>
    <w:p w14:paraId="53B0A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第十</w:t>
      </w:r>
      <w:r>
        <w:rPr>
          <w:rFonts w:hint="eastAsia" w:ascii="楷体_GB2312" w:hAnsi="楷体_GB2312" w:eastAsia="楷体_GB2312" w:cs="楷体_GB2312"/>
          <w:color w:val="auto"/>
          <w:sz w:val="32"/>
          <w:szCs w:val="32"/>
          <w:highlight w:val="none"/>
          <w:lang w:val="en-US" w:eastAsia="zh-CN"/>
        </w:rPr>
        <w:t>六</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评审方法</w:t>
      </w:r>
    </w:p>
    <w:p w14:paraId="6432F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采购人应根据项目的具体特点、复杂程度和预算金额，合理选择评审方法。原则上：</w:t>
      </w:r>
    </w:p>
    <w:p w14:paraId="724BA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对于技术、服务标准相对统一、竞争充分的常规性</w:t>
      </w:r>
      <w:r>
        <w:rPr>
          <w:rFonts w:hint="eastAsia" w:ascii="仿宋_GB2312" w:hAnsi="仿宋_GB2312" w:eastAsia="仿宋_GB2312" w:cs="仿宋_GB2312"/>
          <w:color w:val="auto"/>
          <w:sz w:val="32"/>
          <w:szCs w:val="32"/>
          <w:highlight w:val="none"/>
          <w:lang w:val="en-US" w:eastAsia="zh-CN"/>
        </w:rPr>
        <w:t>年报</w:t>
      </w:r>
      <w:r>
        <w:rPr>
          <w:rFonts w:hint="eastAsia" w:ascii="仿宋_GB2312" w:hAnsi="仿宋_GB2312" w:eastAsia="仿宋_GB2312" w:cs="仿宋_GB2312"/>
          <w:color w:val="auto"/>
          <w:sz w:val="32"/>
          <w:szCs w:val="32"/>
          <w:highlight w:val="none"/>
          <w:lang w:eastAsia="zh-CN"/>
        </w:rPr>
        <w:t>审计项目（通常指预算金额在特定限额以下），可优先考虑采用“最低评标价法”，在符合采购需求、质量和服务相等的前提下，以提出最低报价的供应商作为中标候选人。</w:t>
      </w:r>
    </w:p>
    <w:p w14:paraId="1379FB5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于技术复杂、专业性要求高、需要对服务方案进行综合比较的项目（通常指预算金额超过特定限额，或涉及特殊行业、重大复杂事项的审计），应采用“综合评分法”。评审因素的设定应科学、合理，与采购标的物的质量、服务相关，</w:t>
      </w:r>
      <w:r>
        <w:rPr>
          <w:rFonts w:hint="eastAsia" w:ascii="仿宋_GB2312" w:hAnsi="仿宋_GB2312" w:eastAsia="仿宋_GB2312" w:cs="仿宋_GB2312"/>
          <w:color w:val="auto"/>
          <w:sz w:val="32"/>
          <w:szCs w:val="32"/>
          <w:highlight w:val="none"/>
          <w:lang w:val="en-US" w:eastAsia="zh-CN"/>
        </w:rPr>
        <w:t>且权重设置应符合《政府采购货物和服务招标投标管理办法》（财政部令第87号）等国家政策法规的规定。</w:t>
      </w:r>
    </w:p>
    <w:p w14:paraId="0CA9DEB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采购人应在采购文件中明确所选用的评审方法及其适用理由。</w:t>
      </w:r>
    </w:p>
    <w:p w14:paraId="6C40B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第十</w:t>
      </w:r>
      <w:r>
        <w:rPr>
          <w:rFonts w:hint="eastAsia" w:ascii="楷体_GB2312" w:hAnsi="楷体_GB2312" w:eastAsia="楷体_GB2312" w:cs="楷体_GB2312"/>
          <w:color w:val="auto"/>
          <w:sz w:val="32"/>
          <w:szCs w:val="32"/>
          <w:highlight w:val="none"/>
          <w:lang w:val="en-US" w:eastAsia="zh-CN"/>
        </w:rPr>
        <w:t>七</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评分因素</w:t>
      </w:r>
      <w:r>
        <w:rPr>
          <w:rFonts w:hint="eastAsia" w:ascii="楷体_GB2312" w:hAnsi="楷体_GB2312" w:eastAsia="楷体_GB2312" w:cs="楷体_GB2312"/>
          <w:color w:val="auto"/>
          <w:sz w:val="32"/>
          <w:szCs w:val="32"/>
          <w:highlight w:val="none"/>
          <w:lang w:val="en-US" w:eastAsia="zh-CN"/>
        </w:rPr>
        <w:t>及权重（示例-综合评分法）</w:t>
      </w:r>
    </w:p>
    <w:p w14:paraId="50415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采购人在编制采购需求时，需明确本次采购的具体评审评分的因素及权重。采购人可参考以下示例设置评分因素及权重。</w:t>
      </w:r>
    </w:p>
    <w:p w14:paraId="24E6E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本次采购评审方法将采用综合评分法，总分100分，其中技术部分权重70分、商务部分权重20分，价格部分权重10分。</w:t>
      </w:r>
    </w:p>
    <w:p w14:paraId="3A45D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1.技术部分（</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0分）：</w:t>
      </w:r>
    </w:p>
    <w:p w14:paraId="7996E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审计工作方案（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0分）：</w:t>
      </w:r>
      <w:r>
        <w:rPr>
          <w:rFonts w:hint="eastAsia" w:ascii="仿宋_GB2312" w:hAnsi="仿宋_GB2312" w:eastAsia="仿宋_GB2312" w:cs="仿宋_GB2312"/>
          <w:color w:val="auto"/>
          <w:sz w:val="32"/>
          <w:szCs w:val="32"/>
          <w:highlight w:val="none"/>
          <w:lang w:val="en-US" w:eastAsia="zh-CN"/>
        </w:rPr>
        <w:t>评价供应商对项目背景、审计目标的理解深度；审计范围与重点把握的准确性；审计策略、风险评估及具体审计程序设计的科学性、合理性、针对性和可操作性；项目进度计划与资源安排的可行性；对可能遇到的难点及应对措施的预见性。</w:t>
      </w:r>
    </w:p>
    <w:p w14:paraId="18CFA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项目团队配置（20分）：</w:t>
      </w:r>
      <w:r>
        <w:rPr>
          <w:rFonts w:hint="eastAsia" w:ascii="仿宋_GB2312" w:hAnsi="仿宋_GB2312" w:eastAsia="仿宋_GB2312" w:cs="仿宋_GB2312"/>
          <w:color w:val="auto"/>
          <w:sz w:val="32"/>
          <w:szCs w:val="32"/>
          <w:highlight w:val="none"/>
          <w:lang w:val="en-US" w:eastAsia="zh-CN"/>
        </w:rPr>
        <w:t>评价项目负责人、现场负责人及其他核心成员的专业资格（如注册会计师、相关执业证书）、工作经验（特别是同类项目经验）、行业熟悉度；团队人员结构、数量与项目需求的匹配程度；团队稳定性承诺（如关键人员未经采购人同意不得更换）。</w:t>
      </w:r>
    </w:p>
    <w:p w14:paraId="77B4D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质量保证措施（</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0分）：</w:t>
      </w:r>
      <w:r>
        <w:rPr>
          <w:rFonts w:hint="eastAsia" w:ascii="仿宋_GB2312" w:hAnsi="仿宋_GB2312" w:eastAsia="仿宋_GB2312" w:cs="仿宋_GB2312"/>
          <w:color w:val="auto"/>
          <w:sz w:val="32"/>
          <w:szCs w:val="32"/>
          <w:highlight w:val="none"/>
          <w:lang w:val="en-US" w:eastAsia="zh-CN"/>
        </w:rPr>
        <w:t>评价供应商为本项目制定的内部质量控制措施、现场管理制度、与采购人及被审计单位的沟通协调机制、档案管理制度、保密与廉政措施、应急处置预案等的完备性和有效性。</w:t>
      </w:r>
    </w:p>
    <w:p w14:paraId="17AB9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2.商务部分（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0分）：</w:t>
      </w:r>
    </w:p>
    <w:p w14:paraId="17086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供应商综合实力（</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lang w:val="en-US" w:eastAsia="zh-CN"/>
        </w:rPr>
        <w:t>近*年内完成的同类年报审计项目数量、规模、复杂程度及相关的用户评价或验收证明。</w:t>
      </w:r>
    </w:p>
    <w:p w14:paraId="1B06D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服务承诺（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lang w:val="en-US" w:eastAsia="zh-CN"/>
        </w:rPr>
        <w:t>评价供应商对采购文件提出的服务期限、保密要求、独立性保证、后续咨询支持等商务条款的响应程度及承诺的具体性、可靠性。</w:t>
      </w:r>
    </w:p>
    <w:p w14:paraId="034A19A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诚信情况（2分）：主要关注供应商在全国范围内是否存在因政府采购违法、违规行为受到财政部门罚款等一般行政处罚信息。</w:t>
      </w:r>
    </w:p>
    <w:p w14:paraId="4DD7D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3.价格部分（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0分）：</w:t>
      </w:r>
    </w:p>
    <w:p w14:paraId="59372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在满足采购文件全部实质性要求的前提下，以评标最低价为基数计算价格分：价格分=（评标最低价/投标报价）×价格分值。</w:t>
      </w:r>
    </w:p>
    <w:p w14:paraId="69AB1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附则</w:t>
      </w:r>
    </w:p>
    <w:p w14:paraId="6159D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第十</w:t>
      </w:r>
      <w:r>
        <w:rPr>
          <w:rFonts w:hint="eastAsia" w:ascii="楷体_GB2312" w:hAnsi="楷体_GB2312" w:eastAsia="楷体_GB2312" w:cs="楷体_GB2312"/>
          <w:color w:val="auto"/>
          <w:sz w:val="32"/>
          <w:szCs w:val="32"/>
          <w:highlight w:val="none"/>
          <w:lang w:val="en-US" w:eastAsia="zh-CN"/>
        </w:rPr>
        <w:t>八</w:t>
      </w:r>
      <w:r>
        <w:rPr>
          <w:rFonts w:hint="eastAsia" w:ascii="楷体_GB2312" w:hAnsi="楷体_GB2312" w:eastAsia="楷体_GB2312" w:cs="楷体_GB2312"/>
          <w:color w:val="auto"/>
          <w:sz w:val="32"/>
          <w:szCs w:val="32"/>
          <w:highlight w:val="none"/>
          <w:lang w:eastAsia="zh-CN"/>
        </w:rPr>
        <w:t>条</w:t>
      </w:r>
      <w:r>
        <w:rPr>
          <w:rFonts w:hint="eastAsia" w:ascii="楷体_GB2312" w:hAnsi="楷体_GB2312" w:eastAsia="楷体_GB2312" w:cs="楷体_GB2312"/>
          <w:color w:val="auto"/>
          <w:sz w:val="32"/>
          <w:szCs w:val="32"/>
          <w:highlight w:val="none"/>
          <w:lang w:val="en-US" w:eastAsia="zh-CN"/>
        </w:rPr>
        <w:t xml:space="preserve"> 施行与</w:t>
      </w:r>
      <w:r>
        <w:rPr>
          <w:rFonts w:hint="eastAsia" w:ascii="楷体_GB2312" w:hAnsi="楷体_GB2312" w:eastAsia="楷体_GB2312" w:cs="楷体_GB2312"/>
          <w:color w:val="auto"/>
          <w:sz w:val="32"/>
          <w:szCs w:val="32"/>
          <w:highlight w:val="none"/>
          <w:lang w:eastAsia="zh-CN"/>
        </w:rPr>
        <w:t>生效</w:t>
      </w:r>
    </w:p>
    <w:p w14:paraId="44B566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本指引旨在为采购人制定具体年报审计服务项目采购需求提供框架性指导和参考。采购人应根据具体项目的实际情况，在本指引基础上进行细化、补充和完善，形成具有针对性的采购文件。</w:t>
      </w:r>
    </w:p>
    <w:p w14:paraId="6EFFF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本指引</w:t>
      </w:r>
      <w:r>
        <w:rPr>
          <w:rFonts w:hint="eastAsia" w:ascii="仿宋_GB2312" w:hAnsi="仿宋_GB2312" w:eastAsia="仿宋_GB2312" w:cs="仿宋_GB2312"/>
          <w:color w:val="auto"/>
          <w:sz w:val="32"/>
          <w:szCs w:val="32"/>
          <w:highlight w:val="none"/>
          <w:lang w:eastAsia="zh-CN"/>
        </w:rPr>
        <w:t>自发布之日起</w:t>
      </w:r>
      <w:r>
        <w:rPr>
          <w:rFonts w:hint="eastAsia" w:ascii="仿宋_GB2312" w:hAnsi="仿宋_GB2312" w:eastAsia="仿宋_GB2312" w:cs="仿宋_GB2312"/>
          <w:color w:val="auto"/>
          <w:sz w:val="32"/>
          <w:szCs w:val="32"/>
          <w:highlight w:val="none"/>
          <w:lang w:val="en-US" w:eastAsia="zh-CN"/>
        </w:rPr>
        <w:t>施行。</w:t>
      </w:r>
      <w:r>
        <w:rPr>
          <w:rFonts w:hint="eastAsia" w:ascii="仿宋_GB2312" w:hAnsi="仿宋_GB2312" w:eastAsia="仿宋_GB2312" w:cs="仿宋_GB2312"/>
          <w:color w:val="auto"/>
          <w:sz w:val="32"/>
          <w:szCs w:val="32"/>
          <w:highlight w:val="none"/>
          <w:lang w:eastAsia="zh-CN"/>
        </w:rPr>
        <w:t>国家及上级主管部门有新规定的，从其规定。</w:t>
      </w:r>
    </w:p>
    <w:p w14:paraId="347390FD">
      <w:pPr>
        <w:widowControl/>
        <w:numPr>
          <w:ilvl w:val="0"/>
          <w:numId w:val="0"/>
        </w:numPr>
        <w:spacing w:after="0" w:line="560" w:lineRule="exact"/>
        <w:jc w:val="left"/>
        <w:outlineLvl w:val="0"/>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sz w:val="32"/>
          <w:szCs w:val="32"/>
          <w:highlight w:val="none"/>
          <w:lang w:val="en-US" w:eastAsia="zh-CN"/>
        </w:rPr>
        <w:t>附件1</w:t>
      </w:r>
    </w:p>
    <w:p w14:paraId="6D42D6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黑体" w:hAnsi="宋体" w:eastAsia="黑体" w:cs="Times New Roman"/>
          <w:color w:val="auto"/>
          <w:kern w:val="2"/>
          <w:sz w:val="36"/>
          <w:szCs w:val="36"/>
          <w:highlight w:val="none"/>
          <w:lang w:val="en-US" w:eastAsia="zh-CN" w:bidi="ar-SA"/>
        </w:rPr>
        <w:t>政府采购评审评分表（示例）</w:t>
      </w:r>
    </w:p>
    <w:tbl>
      <w:tblPr>
        <w:tblStyle w:val="8"/>
        <w:tblW w:w="13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281"/>
        <w:gridCol w:w="1341"/>
        <w:gridCol w:w="1496"/>
        <w:gridCol w:w="8504"/>
      </w:tblGrid>
      <w:tr w14:paraId="5980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2" w:type="dxa"/>
            <w:noWrap/>
            <w:vAlign w:val="center"/>
          </w:tcPr>
          <w:p w14:paraId="1A391494">
            <w:pPr>
              <w:adjustRightInd/>
              <w:jc w:val="center"/>
              <w:textAlignment w:val="auto"/>
              <w:rPr>
                <w:rFonts w:hint="eastAsia" w:ascii="仿宋_GB2312" w:hAnsi="仿宋_GB2312" w:eastAsia="仿宋_GB2312" w:cs="仿宋_GB2312"/>
                <w:b/>
                <w:bCs/>
                <w:kern w:val="0"/>
                <w:sz w:val="24"/>
                <w:szCs w:val="24"/>
                <w:lang w:val="en" w:eastAsia="zh-CN"/>
              </w:rPr>
            </w:pPr>
            <w:r>
              <w:rPr>
                <w:rFonts w:hint="eastAsia" w:ascii="仿宋_GB2312" w:hAnsi="仿宋_GB2312" w:eastAsia="仿宋_GB2312" w:cs="仿宋_GB2312"/>
                <w:b/>
                <w:bCs/>
                <w:kern w:val="0"/>
                <w:sz w:val="24"/>
                <w:szCs w:val="24"/>
                <w:lang w:val="en" w:eastAsia="zh-CN"/>
              </w:rPr>
              <w:t>评审</w:t>
            </w:r>
          </w:p>
          <w:p w14:paraId="771210A9">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项目</w:t>
            </w:r>
          </w:p>
        </w:tc>
        <w:tc>
          <w:tcPr>
            <w:tcW w:w="1281" w:type="dxa"/>
            <w:noWrap/>
            <w:vAlign w:val="center"/>
          </w:tcPr>
          <w:p w14:paraId="4E647B1B">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一级指标</w:t>
            </w:r>
          </w:p>
        </w:tc>
        <w:tc>
          <w:tcPr>
            <w:tcW w:w="1341" w:type="dxa"/>
            <w:noWrap w:val="0"/>
            <w:vAlign w:val="center"/>
          </w:tcPr>
          <w:p w14:paraId="39DCD758">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二级指标</w:t>
            </w:r>
          </w:p>
        </w:tc>
        <w:tc>
          <w:tcPr>
            <w:tcW w:w="1496" w:type="dxa"/>
            <w:noWrap/>
            <w:vAlign w:val="center"/>
          </w:tcPr>
          <w:p w14:paraId="3DD6F6A2">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US" w:eastAsia="zh-CN"/>
              </w:rPr>
              <w:t>权重</w:t>
            </w:r>
          </w:p>
        </w:tc>
        <w:tc>
          <w:tcPr>
            <w:tcW w:w="8504" w:type="dxa"/>
            <w:noWrap/>
            <w:vAlign w:val="center"/>
          </w:tcPr>
          <w:p w14:paraId="00BEC4FC">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评审标准</w:t>
            </w:r>
          </w:p>
        </w:tc>
      </w:tr>
      <w:tr w14:paraId="613D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restart"/>
            <w:noWrap w:val="0"/>
            <w:vAlign w:val="center"/>
          </w:tcPr>
          <w:p w14:paraId="3482E0A4">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一、技术（70分）</w:t>
            </w:r>
          </w:p>
        </w:tc>
        <w:tc>
          <w:tcPr>
            <w:tcW w:w="1281" w:type="dxa"/>
            <w:vMerge w:val="restart"/>
            <w:noWrap w:val="0"/>
            <w:vAlign w:val="center"/>
          </w:tcPr>
          <w:p w14:paraId="43957761">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（一）审计工作方案（40分）</w:t>
            </w:r>
          </w:p>
        </w:tc>
        <w:tc>
          <w:tcPr>
            <w:tcW w:w="1341" w:type="dxa"/>
            <w:noWrap w:val="0"/>
            <w:vAlign w:val="center"/>
          </w:tcPr>
          <w:p w14:paraId="60ADF20F">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1.项目理解与审计目标</w:t>
            </w:r>
          </w:p>
        </w:tc>
        <w:tc>
          <w:tcPr>
            <w:tcW w:w="1496" w:type="dxa"/>
            <w:noWrap/>
            <w:vAlign w:val="center"/>
          </w:tcPr>
          <w:p w14:paraId="60839643">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8</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24490ADA">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r>
              <w:rPr>
                <w:rFonts w:hint="default" w:ascii="仿宋_GB2312" w:hAnsi="仿宋_GB2312" w:eastAsia="仿宋_GB2312" w:cs="仿宋_GB2312"/>
                <w:b w:val="0"/>
                <w:bCs w:val="0"/>
                <w:kern w:val="0"/>
                <w:sz w:val="24"/>
                <w:szCs w:val="24"/>
                <w:lang w:val="en-US"/>
              </w:rPr>
              <w:t>深度理解项目背景、审计目标，并结合被审计单位性质、规模、行业特点提出针对性审计策略</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8</w:t>
            </w:r>
            <w:r>
              <w:rPr>
                <w:rFonts w:hint="eastAsia" w:ascii="仿宋_GB2312" w:hAnsi="仿宋_GB2312" w:eastAsia="仿宋_GB2312" w:cs="仿宋_GB2312"/>
                <w:b w:val="0"/>
                <w:bCs w:val="0"/>
                <w:kern w:val="0"/>
                <w:sz w:val="24"/>
                <w:szCs w:val="24"/>
                <w:lang w:val="en-US" w:eastAsia="zh-CN"/>
              </w:rPr>
              <w:t>分。</w:t>
            </w:r>
          </w:p>
          <w:p w14:paraId="67D01ED1">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default" w:ascii="仿宋_GB2312" w:hAnsi="仿宋_GB2312" w:eastAsia="仿宋_GB2312" w:cs="仿宋_GB2312"/>
                <w:b w:val="0"/>
                <w:bCs w:val="0"/>
                <w:kern w:val="0"/>
                <w:sz w:val="24"/>
                <w:szCs w:val="24"/>
                <w:lang w:val="en-US"/>
              </w:rPr>
              <w:t>理解较为全面，但针对性一般</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5</w:t>
            </w:r>
            <w:r>
              <w:rPr>
                <w:rFonts w:hint="eastAsia" w:ascii="仿宋_GB2312" w:hAnsi="仿宋_GB2312" w:eastAsia="仿宋_GB2312" w:cs="仿宋_GB2312"/>
                <w:b w:val="0"/>
                <w:bCs w:val="0"/>
                <w:kern w:val="0"/>
                <w:sz w:val="24"/>
                <w:szCs w:val="24"/>
                <w:lang w:val="en-US" w:eastAsia="zh-CN"/>
              </w:rPr>
              <w:t>分。</w:t>
            </w:r>
          </w:p>
          <w:p w14:paraId="71735F39">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r>
              <w:rPr>
                <w:rFonts w:hint="default" w:ascii="仿宋_GB2312" w:hAnsi="仿宋_GB2312" w:eastAsia="仿宋_GB2312" w:cs="仿宋_GB2312"/>
                <w:b w:val="0"/>
                <w:bCs w:val="0"/>
                <w:kern w:val="0"/>
                <w:sz w:val="24"/>
                <w:szCs w:val="24"/>
                <w:lang w:val="en-US"/>
              </w:rPr>
              <w:t>理解较为笼统，缺乏针对性</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2</w:t>
            </w:r>
            <w:r>
              <w:rPr>
                <w:rFonts w:hint="eastAsia" w:ascii="仿宋_GB2312" w:hAnsi="仿宋_GB2312" w:eastAsia="仿宋_GB2312" w:cs="仿宋_GB2312"/>
                <w:b w:val="0"/>
                <w:bCs w:val="0"/>
                <w:kern w:val="0"/>
                <w:sz w:val="24"/>
                <w:szCs w:val="24"/>
                <w:lang w:val="en-US" w:eastAsia="zh-CN"/>
              </w:rPr>
              <w:t>分。</w:t>
            </w:r>
          </w:p>
          <w:p w14:paraId="75BE516A">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w:t>
            </w:r>
            <w:r>
              <w:rPr>
                <w:rFonts w:hint="default" w:ascii="仿宋_GB2312" w:hAnsi="仿宋_GB2312" w:eastAsia="仿宋_GB2312" w:cs="仿宋_GB2312"/>
                <w:b w:val="0"/>
                <w:bCs w:val="0"/>
                <w:kern w:val="0"/>
                <w:sz w:val="24"/>
                <w:szCs w:val="24"/>
                <w:lang w:val="en-US"/>
              </w:rPr>
              <w:t>理解不足，审计目标模糊</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0</w:t>
            </w:r>
            <w:r>
              <w:rPr>
                <w:rFonts w:hint="eastAsia" w:ascii="仿宋_GB2312" w:hAnsi="仿宋_GB2312" w:eastAsia="仿宋_GB2312" w:cs="仿宋_GB2312"/>
                <w:b w:val="0"/>
                <w:bCs w:val="0"/>
                <w:kern w:val="0"/>
                <w:sz w:val="24"/>
                <w:szCs w:val="24"/>
                <w:lang w:val="en-US" w:eastAsia="zh-CN"/>
              </w:rPr>
              <w:t>分。</w:t>
            </w:r>
          </w:p>
        </w:tc>
      </w:tr>
      <w:tr w14:paraId="08F7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continue"/>
            <w:noWrap w:val="0"/>
            <w:vAlign w:val="center"/>
          </w:tcPr>
          <w:p w14:paraId="750FC43B">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68035454">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4DB6963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2.审计范围与重点把握</w:t>
            </w:r>
          </w:p>
        </w:tc>
        <w:tc>
          <w:tcPr>
            <w:tcW w:w="1496" w:type="dxa"/>
            <w:noWrap/>
            <w:vAlign w:val="center"/>
          </w:tcPr>
          <w:p w14:paraId="5452246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8</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54AE815B">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r>
              <w:rPr>
                <w:rFonts w:hint="default" w:ascii="仿宋_GB2312" w:hAnsi="仿宋_GB2312" w:eastAsia="仿宋_GB2312" w:cs="仿宋_GB2312"/>
                <w:b w:val="0"/>
                <w:bCs w:val="0"/>
                <w:kern w:val="0"/>
                <w:sz w:val="24"/>
                <w:szCs w:val="24"/>
                <w:lang w:val="en-US"/>
              </w:rPr>
              <w:t>审计范围清晰，重点突出，涵盖采购需求中明确的通用审计核心内容及</w:t>
            </w:r>
            <w:r>
              <w:rPr>
                <w:rFonts w:hint="eastAsia" w:ascii="仿宋_GB2312" w:hAnsi="仿宋_GB2312" w:eastAsia="仿宋_GB2312" w:cs="仿宋_GB2312"/>
                <w:b w:val="0"/>
                <w:bCs w:val="0"/>
                <w:kern w:val="0"/>
                <w:sz w:val="24"/>
                <w:szCs w:val="24"/>
                <w:lang w:val="en-US" w:eastAsia="zh-CN"/>
              </w:rPr>
              <w:t>分</w:t>
            </w:r>
            <w:r>
              <w:rPr>
                <w:rFonts w:hint="default" w:ascii="仿宋_GB2312" w:hAnsi="仿宋_GB2312" w:eastAsia="仿宋_GB2312" w:cs="仿宋_GB2312"/>
                <w:b w:val="0"/>
                <w:bCs w:val="0"/>
                <w:kern w:val="0"/>
                <w:sz w:val="24"/>
                <w:szCs w:val="24"/>
                <w:lang w:val="en-US"/>
              </w:rPr>
              <w:t>类重点关注领域</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8</w:t>
            </w:r>
            <w:r>
              <w:rPr>
                <w:rFonts w:hint="eastAsia" w:ascii="仿宋_GB2312" w:hAnsi="仿宋_GB2312" w:eastAsia="仿宋_GB2312" w:cs="仿宋_GB2312"/>
                <w:b w:val="0"/>
                <w:bCs w:val="0"/>
                <w:kern w:val="0"/>
                <w:sz w:val="24"/>
                <w:szCs w:val="24"/>
                <w:lang w:val="en-US" w:eastAsia="zh-CN"/>
              </w:rPr>
              <w:t>分。</w:t>
            </w:r>
          </w:p>
          <w:p w14:paraId="6CD7B595">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w:t>
            </w:r>
            <w:r>
              <w:rPr>
                <w:rFonts w:hint="default" w:ascii="仿宋_GB2312" w:hAnsi="仿宋_GB2312" w:eastAsia="仿宋_GB2312" w:cs="仿宋_GB2312"/>
                <w:b w:val="0"/>
                <w:bCs w:val="0"/>
                <w:kern w:val="0"/>
                <w:sz w:val="24"/>
                <w:szCs w:val="24"/>
                <w:lang w:val="en-US"/>
              </w:rPr>
              <w:t>范围基本清晰，重点较为明确</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5</w:t>
            </w:r>
            <w:r>
              <w:rPr>
                <w:rFonts w:hint="eastAsia" w:ascii="仿宋_GB2312" w:hAnsi="仿宋_GB2312" w:eastAsia="仿宋_GB2312" w:cs="仿宋_GB2312"/>
                <w:b w:val="0"/>
                <w:bCs w:val="0"/>
                <w:kern w:val="0"/>
                <w:sz w:val="24"/>
                <w:szCs w:val="24"/>
                <w:lang w:val="en-US" w:eastAsia="zh-CN"/>
              </w:rPr>
              <w:t>分。</w:t>
            </w:r>
          </w:p>
          <w:p w14:paraId="424707C4">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default" w:ascii="仿宋_GB2312" w:hAnsi="仿宋_GB2312" w:eastAsia="仿宋_GB2312" w:cs="仿宋_GB2312"/>
                <w:b w:val="0"/>
                <w:bCs w:val="0"/>
                <w:kern w:val="0"/>
                <w:sz w:val="24"/>
                <w:szCs w:val="24"/>
                <w:lang w:val="en-US"/>
              </w:rPr>
              <w:t>范围表述笼统，重点不突出</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2</w:t>
            </w:r>
            <w:r>
              <w:rPr>
                <w:rFonts w:hint="eastAsia" w:ascii="仿宋_GB2312" w:hAnsi="仿宋_GB2312" w:eastAsia="仿宋_GB2312" w:cs="仿宋_GB2312"/>
                <w:b w:val="0"/>
                <w:bCs w:val="0"/>
                <w:kern w:val="0"/>
                <w:sz w:val="24"/>
                <w:szCs w:val="24"/>
                <w:lang w:val="en-US" w:eastAsia="zh-CN"/>
              </w:rPr>
              <w:t>分。</w:t>
            </w:r>
          </w:p>
          <w:p w14:paraId="783F9476">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r>
              <w:rPr>
                <w:rFonts w:hint="default" w:ascii="仿宋_GB2312" w:hAnsi="仿宋_GB2312" w:eastAsia="仿宋_GB2312" w:cs="仿宋_GB2312"/>
                <w:b w:val="0"/>
                <w:bCs w:val="0"/>
                <w:kern w:val="0"/>
                <w:sz w:val="24"/>
                <w:szCs w:val="24"/>
                <w:lang w:val="en-US"/>
              </w:rPr>
              <w:t>范围不明确，无重点划分</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0</w:t>
            </w:r>
            <w:r>
              <w:rPr>
                <w:rFonts w:hint="eastAsia" w:ascii="仿宋_GB2312" w:hAnsi="仿宋_GB2312" w:eastAsia="仿宋_GB2312" w:cs="仿宋_GB2312"/>
                <w:b w:val="0"/>
                <w:bCs w:val="0"/>
                <w:kern w:val="0"/>
                <w:sz w:val="24"/>
                <w:szCs w:val="24"/>
                <w:lang w:val="en-US" w:eastAsia="zh-CN"/>
              </w:rPr>
              <w:t>分。</w:t>
            </w:r>
          </w:p>
        </w:tc>
      </w:tr>
      <w:tr w14:paraId="7415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92" w:type="dxa"/>
            <w:vMerge w:val="continue"/>
            <w:noWrap w:val="0"/>
            <w:vAlign w:val="center"/>
          </w:tcPr>
          <w:p w14:paraId="0D1ED2DB">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11816E33">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48684716">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.审计策略与程序设计</w:t>
            </w:r>
          </w:p>
        </w:tc>
        <w:tc>
          <w:tcPr>
            <w:tcW w:w="1496" w:type="dxa"/>
            <w:noWrap/>
            <w:vAlign w:val="center"/>
          </w:tcPr>
          <w:p w14:paraId="5D491BA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8</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4A6ECAD3">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r>
              <w:rPr>
                <w:rFonts w:hint="default" w:ascii="仿宋_GB2312" w:hAnsi="仿宋_GB2312" w:eastAsia="仿宋_GB2312" w:cs="仿宋_GB2312"/>
                <w:b w:val="0"/>
                <w:bCs w:val="0"/>
                <w:kern w:val="0"/>
                <w:sz w:val="24"/>
                <w:szCs w:val="24"/>
                <w:lang w:val="en-US"/>
              </w:rPr>
              <w:t>审计策略科学，程序详细、具体、可操作性强，涵盖风险评估、控制测试</w:t>
            </w:r>
            <w:r>
              <w:rPr>
                <w:rFonts w:hint="eastAsia" w:ascii="仿宋_GB2312" w:hAnsi="仿宋_GB2312" w:eastAsia="仿宋_GB2312" w:cs="仿宋_GB2312"/>
                <w:b w:val="0"/>
                <w:bCs w:val="0"/>
                <w:kern w:val="0"/>
                <w:sz w:val="24"/>
                <w:szCs w:val="24"/>
                <w:lang w:val="en-US" w:eastAsia="zh-CN"/>
              </w:rPr>
              <w:t>、</w:t>
            </w:r>
            <w:r>
              <w:rPr>
                <w:rFonts w:hint="default" w:ascii="仿宋_GB2312" w:hAnsi="仿宋_GB2312" w:eastAsia="仿宋_GB2312" w:cs="仿宋_GB2312"/>
                <w:b w:val="0"/>
                <w:bCs w:val="0"/>
                <w:kern w:val="0"/>
                <w:sz w:val="24"/>
                <w:szCs w:val="24"/>
                <w:lang w:val="en-US"/>
              </w:rPr>
              <w:t>实质性程序等，并体现现代审计方法应用</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8</w:t>
            </w:r>
            <w:r>
              <w:rPr>
                <w:rFonts w:hint="eastAsia" w:ascii="仿宋_GB2312" w:hAnsi="仿宋_GB2312" w:eastAsia="仿宋_GB2312" w:cs="仿宋_GB2312"/>
                <w:b w:val="0"/>
                <w:bCs w:val="0"/>
                <w:kern w:val="0"/>
                <w:sz w:val="24"/>
                <w:szCs w:val="24"/>
                <w:lang w:val="en-US" w:eastAsia="zh-CN"/>
              </w:rPr>
              <w:t>分。</w:t>
            </w:r>
          </w:p>
          <w:p w14:paraId="6FD8138A">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w:t>
            </w:r>
            <w:r>
              <w:rPr>
                <w:rFonts w:hint="default" w:ascii="仿宋_GB2312" w:hAnsi="仿宋_GB2312" w:eastAsia="仿宋_GB2312" w:cs="仿宋_GB2312"/>
                <w:b w:val="0"/>
                <w:bCs w:val="0"/>
                <w:kern w:val="0"/>
                <w:sz w:val="24"/>
                <w:szCs w:val="24"/>
                <w:lang w:val="en-US"/>
              </w:rPr>
              <w:t>策略较为合理，程序较为完整</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5</w:t>
            </w:r>
            <w:r>
              <w:rPr>
                <w:rFonts w:hint="eastAsia" w:ascii="仿宋_GB2312" w:hAnsi="仿宋_GB2312" w:eastAsia="仿宋_GB2312" w:cs="仿宋_GB2312"/>
                <w:b w:val="0"/>
                <w:bCs w:val="0"/>
                <w:kern w:val="0"/>
                <w:sz w:val="24"/>
                <w:szCs w:val="24"/>
                <w:lang w:val="en-US" w:eastAsia="zh-CN"/>
              </w:rPr>
              <w:t>分。</w:t>
            </w:r>
          </w:p>
          <w:p w14:paraId="106E708D">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default" w:ascii="仿宋_GB2312" w:hAnsi="仿宋_GB2312" w:eastAsia="仿宋_GB2312" w:cs="仿宋_GB2312"/>
                <w:b w:val="0"/>
                <w:bCs w:val="0"/>
                <w:kern w:val="0"/>
                <w:sz w:val="24"/>
                <w:szCs w:val="24"/>
                <w:lang w:val="en-US"/>
              </w:rPr>
              <w:t>策略一般，程序较为常规</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2</w:t>
            </w:r>
            <w:r>
              <w:rPr>
                <w:rFonts w:hint="eastAsia" w:ascii="仿宋_GB2312" w:hAnsi="仿宋_GB2312" w:eastAsia="仿宋_GB2312" w:cs="仿宋_GB2312"/>
                <w:b w:val="0"/>
                <w:bCs w:val="0"/>
                <w:kern w:val="0"/>
                <w:sz w:val="24"/>
                <w:szCs w:val="24"/>
                <w:lang w:val="en-US" w:eastAsia="zh-CN"/>
              </w:rPr>
              <w:t>分。</w:t>
            </w:r>
          </w:p>
          <w:p w14:paraId="1241C232">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r>
              <w:rPr>
                <w:rFonts w:hint="default" w:ascii="仿宋_GB2312" w:hAnsi="仿宋_GB2312" w:eastAsia="仿宋_GB2312" w:cs="仿宋_GB2312"/>
                <w:b w:val="0"/>
                <w:bCs w:val="0"/>
                <w:kern w:val="0"/>
                <w:sz w:val="24"/>
                <w:szCs w:val="24"/>
                <w:lang w:val="en-US"/>
              </w:rPr>
              <w:t>策略不当，程序不清晰</w:t>
            </w:r>
            <w:r>
              <w:rPr>
                <w:rFonts w:hint="eastAsia" w:ascii="仿宋_GB2312" w:hAnsi="仿宋_GB2312" w:eastAsia="仿宋_GB2312" w:cs="仿宋_GB2312"/>
                <w:b w:val="0"/>
                <w:bCs w:val="0"/>
                <w:kern w:val="0"/>
                <w:sz w:val="24"/>
                <w:szCs w:val="24"/>
                <w:lang w:val="en-US" w:eastAsia="zh-CN"/>
              </w:rPr>
              <w:t>，得0分。</w:t>
            </w:r>
          </w:p>
        </w:tc>
      </w:tr>
      <w:tr w14:paraId="3095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continue"/>
            <w:noWrap w:val="0"/>
            <w:vAlign w:val="center"/>
          </w:tcPr>
          <w:p w14:paraId="46DD8F66">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3CF698AA">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53AE7047">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eastAsia="zh-CN"/>
              </w:rPr>
              <w:t>.项目进度与资源安排</w:t>
            </w:r>
          </w:p>
        </w:tc>
        <w:tc>
          <w:tcPr>
            <w:tcW w:w="1496" w:type="dxa"/>
            <w:noWrap/>
            <w:vAlign w:val="center"/>
          </w:tcPr>
          <w:p w14:paraId="0F7B201F">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8</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6E194613">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r>
              <w:rPr>
                <w:rFonts w:hint="default" w:ascii="仿宋_GB2312" w:hAnsi="仿宋_GB2312" w:eastAsia="仿宋_GB2312" w:cs="仿宋_GB2312"/>
                <w:b w:val="0"/>
                <w:bCs w:val="0"/>
                <w:kern w:val="0"/>
                <w:sz w:val="24"/>
                <w:szCs w:val="24"/>
                <w:lang w:val="en-US"/>
              </w:rPr>
              <w:t>进度计划合理，资源分配科学，关键时间节点明确，可行性强</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8</w:t>
            </w:r>
            <w:r>
              <w:rPr>
                <w:rFonts w:hint="eastAsia" w:ascii="仿宋_GB2312" w:hAnsi="仿宋_GB2312" w:eastAsia="仿宋_GB2312" w:cs="仿宋_GB2312"/>
                <w:b w:val="0"/>
                <w:bCs w:val="0"/>
                <w:kern w:val="0"/>
                <w:sz w:val="24"/>
                <w:szCs w:val="24"/>
                <w:lang w:val="en-US" w:eastAsia="zh-CN"/>
              </w:rPr>
              <w:t>分。</w:t>
            </w:r>
          </w:p>
          <w:p w14:paraId="6B6B9B82">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w:t>
            </w:r>
            <w:r>
              <w:rPr>
                <w:rFonts w:hint="default" w:ascii="仿宋_GB2312" w:hAnsi="仿宋_GB2312" w:eastAsia="仿宋_GB2312" w:cs="仿宋_GB2312"/>
                <w:b w:val="0"/>
                <w:bCs w:val="0"/>
                <w:kern w:val="0"/>
                <w:sz w:val="24"/>
                <w:szCs w:val="24"/>
                <w:lang w:val="en-US"/>
              </w:rPr>
              <w:t>进度与资源安排基本合理</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5</w:t>
            </w:r>
            <w:r>
              <w:rPr>
                <w:rFonts w:hint="eastAsia" w:ascii="仿宋_GB2312" w:hAnsi="仿宋_GB2312" w:eastAsia="仿宋_GB2312" w:cs="仿宋_GB2312"/>
                <w:b w:val="0"/>
                <w:bCs w:val="0"/>
                <w:kern w:val="0"/>
                <w:sz w:val="24"/>
                <w:szCs w:val="24"/>
                <w:lang w:val="en-US" w:eastAsia="zh-CN"/>
              </w:rPr>
              <w:t>分。</w:t>
            </w:r>
          </w:p>
          <w:p w14:paraId="42511364">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default" w:ascii="仿宋_GB2312" w:hAnsi="仿宋_GB2312" w:eastAsia="仿宋_GB2312" w:cs="仿宋_GB2312"/>
                <w:b w:val="0"/>
                <w:bCs w:val="0"/>
                <w:kern w:val="0"/>
                <w:sz w:val="24"/>
                <w:szCs w:val="24"/>
                <w:lang w:val="en-US"/>
              </w:rPr>
              <w:t>进度安排不合理或资源分配不足</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2</w:t>
            </w:r>
            <w:r>
              <w:rPr>
                <w:rFonts w:hint="eastAsia" w:ascii="仿宋_GB2312" w:hAnsi="仿宋_GB2312" w:eastAsia="仿宋_GB2312" w:cs="仿宋_GB2312"/>
                <w:b w:val="0"/>
                <w:bCs w:val="0"/>
                <w:kern w:val="0"/>
                <w:sz w:val="24"/>
                <w:szCs w:val="24"/>
                <w:lang w:val="en-US" w:eastAsia="zh-CN"/>
              </w:rPr>
              <w:t>分。</w:t>
            </w:r>
          </w:p>
          <w:p w14:paraId="7D30EF17">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r>
              <w:rPr>
                <w:rFonts w:hint="default" w:ascii="仿宋_GB2312" w:hAnsi="仿宋_GB2312" w:eastAsia="仿宋_GB2312" w:cs="仿宋_GB2312"/>
                <w:b w:val="0"/>
                <w:bCs w:val="0"/>
                <w:kern w:val="0"/>
                <w:sz w:val="24"/>
                <w:szCs w:val="24"/>
                <w:lang w:val="en-US"/>
              </w:rPr>
              <w:t>无具体进度或资源计划</w:t>
            </w:r>
            <w:r>
              <w:rPr>
                <w:rFonts w:hint="eastAsia" w:ascii="仿宋_GB2312" w:hAnsi="仿宋_GB2312" w:eastAsia="仿宋_GB2312" w:cs="仿宋_GB2312"/>
                <w:b w:val="0"/>
                <w:bCs w:val="0"/>
                <w:kern w:val="0"/>
                <w:sz w:val="24"/>
                <w:szCs w:val="24"/>
                <w:lang w:val="en-US" w:eastAsia="zh-CN"/>
              </w:rPr>
              <w:t>，得</w:t>
            </w:r>
            <w:r>
              <w:rPr>
                <w:rFonts w:hint="default" w:ascii="仿宋_GB2312" w:hAnsi="仿宋_GB2312" w:eastAsia="仿宋_GB2312" w:cs="仿宋_GB2312"/>
                <w:b w:val="0"/>
                <w:bCs w:val="0"/>
                <w:kern w:val="0"/>
                <w:sz w:val="24"/>
                <w:szCs w:val="24"/>
                <w:lang w:val="en-US"/>
              </w:rPr>
              <w:t>0</w:t>
            </w:r>
            <w:r>
              <w:rPr>
                <w:rFonts w:hint="eastAsia" w:ascii="仿宋_GB2312" w:hAnsi="仿宋_GB2312" w:eastAsia="仿宋_GB2312" w:cs="仿宋_GB2312"/>
                <w:b w:val="0"/>
                <w:bCs w:val="0"/>
                <w:kern w:val="0"/>
                <w:sz w:val="24"/>
                <w:szCs w:val="24"/>
                <w:lang w:val="en-US" w:eastAsia="zh-CN"/>
              </w:rPr>
              <w:t>分。</w:t>
            </w:r>
          </w:p>
        </w:tc>
      </w:tr>
      <w:tr w14:paraId="1E53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continue"/>
            <w:noWrap w:val="0"/>
            <w:vAlign w:val="center"/>
          </w:tcPr>
          <w:p w14:paraId="05C77A80">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7E73D647">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5E54BB95">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5.难点预判与应对措施</w:t>
            </w:r>
          </w:p>
        </w:tc>
        <w:tc>
          <w:tcPr>
            <w:tcW w:w="1496" w:type="dxa"/>
            <w:noWrap/>
            <w:vAlign w:val="center"/>
          </w:tcPr>
          <w:p w14:paraId="4DAF168D">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8分</w:t>
            </w:r>
          </w:p>
        </w:tc>
        <w:tc>
          <w:tcPr>
            <w:tcW w:w="8504" w:type="dxa"/>
            <w:noWrap w:val="0"/>
            <w:vAlign w:val="center"/>
          </w:tcPr>
          <w:p w14:paraId="68E4545A">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（1）对审计中可能遇到的难点（如资料获取、延伸审计、特殊业务等）预判准确，应对措施具体可行，得8分。</w:t>
            </w:r>
          </w:p>
          <w:p w14:paraId="09507C7A">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（2）预判较为全面，应对措施一般，得5分。</w:t>
            </w:r>
          </w:p>
          <w:p w14:paraId="54ACC485">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（3）预判不足，措施笼统，得2分。</w:t>
            </w:r>
          </w:p>
          <w:p w14:paraId="4E97DC9A">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（4）未提难点预判或应对措施，得0分。</w:t>
            </w:r>
          </w:p>
        </w:tc>
      </w:tr>
      <w:tr w14:paraId="4B21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092" w:type="dxa"/>
            <w:vMerge w:val="continue"/>
            <w:noWrap w:val="0"/>
            <w:vAlign w:val="center"/>
          </w:tcPr>
          <w:p w14:paraId="1632E54A">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restart"/>
            <w:noWrap w:val="0"/>
            <w:vAlign w:val="center"/>
          </w:tcPr>
          <w:p w14:paraId="1B9C3DD4">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（二）团队配置（20分）</w:t>
            </w:r>
          </w:p>
        </w:tc>
        <w:tc>
          <w:tcPr>
            <w:tcW w:w="1341" w:type="dxa"/>
            <w:noWrap w:val="0"/>
            <w:vAlign w:val="center"/>
          </w:tcPr>
          <w:p w14:paraId="205EA040">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1.项目负责人</w:t>
            </w:r>
          </w:p>
        </w:tc>
        <w:tc>
          <w:tcPr>
            <w:tcW w:w="1496" w:type="dxa"/>
            <w:noWrap/>
            <w:vAlign w:val="center"/>
          </w:tcPr>
          <w:p w14:paraId="27A23958">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10分</w:t>
            </w:r>
          </w:p>
        </w:tc>
        <w:tc>
          <w:tcPr>
            <w:tcW w:w="8504" w:type="dxa"/>
            <w:noWrap w:val="0"/>
            <w:vAlign w:val="center"/>
          </w:tcPr>
          <w:p w14:paraId="6DF990BC">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rPr>
              <w:t>为在职注册会计师，执业年限</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val="en"/>
              </w:rPr>
              <w:t>年及以上，近</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rPr>
              <w:t>年内担任过至少</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rPr>
              <w:t>个同类型或更大规模审计项目负责人</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10</w:t>
            </w:r>
            <w:r>
              <w:rPr>
                <w:rFonts w:hint="eastAsia" w:ascii="仿宋_GB2312" w:hAnsi="仿宋_GB2312" w:eastAsia="仿宋_GB2312" w:cs="仿宋_GB2312"/>
                <w:b w:val="0"/>
                <w:bCs w:val="0"/>
                <w:kern w:val="0"/>
                <w:sz w:val="24"/>
                <w:szCs w:val="24"/>
                <w:lang w:val="en-US" w:eastAsia="zh-CN"/>
              </w:rPr>
              <w:t>分。</w:t>
            </w:r>
          </w:p>
          <w:p w14:paraId="2E0D2B3F">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rPr>
              <w:t>执业年限</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val="en"/>
              </w:rPr>
              <w:t>年，有</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rPr>
              <w:t>个同类项目经验</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8</w:t>
            </w:r>
            <w:r>
              <w:rPr>
                <w:rFonts w:hint="eastAsia" w:ascii="仿宋_GB2312" w:hAnsi="仿宋_GB2312" w:eastAsia="仿宋_GB2312" w:cs="仿宋_GB2312"/>
                <w:b w:val="0"/>
                <w:bCs w:val="0"/>
                <w:kern w:val="0"/>
                <w:sz w:val="24"/>
                <w:szCs w:val="24"/>
                <w:lang w:val="en-US" w:eastAsia="zh-CN"/>
              </w:rPr>
              <w:t>分。</w:t>
            </w:r>
          </w:p>
          <w:p w14:paraId="498C67E9">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rPr>
              <w:t>执业年限</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rPr>
              <w:t>年以下，有1个同类项目经验</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6</w:t>
            </w:r>
            <w:r>
              <w:rPr>
                <w:rFonts w:hint="eastAsia" w:ascii="仿宋_GB2312" w:hAnsi="仿宋_GB2312" w:eastAsia="仿宋_GB2312" w:cs="仿宋_GB2312"/>
                <w:b w:val="0"/>
                <w:bCs w:val="0"/>
                <w:kern w:val="0"/>
                <w:sz w:val="24"/>
                <w:szCs w:val="24"/>
                <w:lang w:val="en-US" w:eastAsia="zh-CN"/>
              </w:rPr>
              <w:t>分。</w:t>
            </w:r>
          </w:p>
          <w:p w14:paraId="785D7A1C">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rPr>
              <w:t>资质或经验不符</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0</w:t>
            </w:r>
            <w:r>
              <w:rPr>
                <w:rFonts w:hint="eastAsia" w:ascii="仿宋_GB2312" w:hAnsi="仿宋_GB2312" w:eastAsia="仿宋_GB2312" w:cs="仿宋_GB2312"/>
                <w:b w:val="0"/>
                <w:bCs w:val="0"/>
                <w:kern w:val="0"/>
                <w:sz w:val="24"/>
                <w:szCs w:val="24"/>
                <w:lang w:val="en-US" w:eastAsia="zh-CN"/>
              </w:rPr>
              <w:t>分。</w:t>
            </w:r>
          </w:p>
        </w:tc>
      </w:tr>
      <w:tr w14:paraId="4804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092" w:type="dxa"/>
            <w:vMerge w:val="continue"/>
            <w:noWrap w:val="0"/>
            <w:vAlign w:val="center"/>
          </w:tcPr>
          <w:p w14:paraId="1B4EF7CE">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66712516">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28E934D7">
            <w:pPr>
              <w:adjustRightInd/>
              <w:jc w:val="center"/>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2.</w:t>
            </w:r>
            <w:r>
              <w:rPr>
                <w:rFonts w:hint="eastAsia" w:ascii="仿宋_GB2312" w:hAnsi="仿宋_GB2312" w:eastAsia="仿宋_GB2312" w:cs="仿宋_GB2312"/>
                <w:b w:val="0"/>
                <w:bCs w:val="0"/>
                <w:kern w:val="0"/>
                <w:sz w:val="24"/>
                <w:szCs w:val="24"/>
                <w:lang w:val="en-US" w:eastAsia="zh-CN"/>
              </w:rPr>
              <w:t>团队成员</w:t>
            </w:r>
          </w:p>
        </w:tc>
        <w:tc>
          <w:tcPr>
            <w:tcW w:w="1496" w:type="dxa"/>
            <w:noWrap/>
            <w:vAlign w:val="center"/>
          </w:tcPr>
          <w:p w14:paraId="0E79B58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10</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396CA12A">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kern w:val="0"/>
                <w:sz w:val="24"/>
                <w:lang w:val="en-US" w:eastAsia="zh-CN"/>
              </w:rPr>
              <w:t>中级或</w:t>
            </w:r>
            <w:r>
              <w:rPr>
                <w:rFonts w:hint="eastAsia" w:ascii="仿宋_GB2312" w:hAnsi="仿宋_GB2312" w:eastAsia="仿宋_GB2312" w:cs="仿宋_GB2312"/>
                <w:b w:val="0"/>
                <w:bCs w:val="0"/>
                <w:kern w:val="0"/>
                <w:sz w:val="24"/>
                <w:szCs w:val="24"/>
                <w:lang w:val="en"/>
              </w:rPr>
              <w:t>注册会计师占比≥30%</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10</w:t>
            </w:r>
            <w:r>
              <w:rPr>
                <w:rFonts w:hint="eastAsia" w:ascii="仿宋_GB2312" w:hAnsi="仿宋_GB2312" w:eastAsia="仿宋_GB2312" w:cs="仿宋_GB2312"/>
                <w:b w:val="0"/>
                <w:bCs w:val="0"/>
                <w:kern w:val="0"/>
                <w:sz w:val="24"/>
                <w:szCs w:val="24"/>
                <w:lang w:val="en-US" w:eastAsia="zh-CN"/>
              </w:rPr>
              <w:t>分。</w:t>
            </w:r>
          </w:p>
          <w:p w14:paraId="2ACAF6F4">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kern w:val="0"/>
                <w:sz w:val="24"/>
                <w:lang w:val="en-US" w:eastAsia="zh-CN"/>
              </w:rPr>
              <w:t>中级或</w:t>
            </w:r>
            <w:r>
              <w:rPr>
                <w:rFonts w:hint="eastAsia" w:ascii="仿宋_GB2312" w:hAnsi="仿宋_GB2312" w:eastAsia="仿宋_GB2312" w:cs="仿宋_GB2312"/>
                <w:b w:val="0"/>
                <w:bCs w:val="0"/>
                <w:kern w:val="0"/>
                <w:sz w:val="24"/>
                <w:szCs w:val="24"/>
                <w:lang w:val="en"/>
              </w:rPr>
              <w:t>注册会计师占比</w:t>
            </w:r>
            <w:r>
              <w:rPr>
                <w:rFonts w:hint="eastAsia" w:ascii="仿宋_GB2312" w:hAnsi="仿宋_GB2312" w:eastAsia="仿宋_GB2312" w:cs="仿宋_GB2312"/>
                <w:b w:val="0"/>
                <w:bCs w:val="0"/>
                <w:kern w:val="0"/>
                <w:sz w:val="24"/>
                <w:szCs w:val="24"/>
                <w:lang w:val="en" w:eastAsia="zh-CN"/>
              </w:rPr>
              <w:t>20%—30%，</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5</w:t>
            </w:r>
            <w:r>
              <w:rPr>
                <w:rFonts w:hint="eastAsia" w:ascii="仿宋_GB2312" w:hAnsi="仿宋_GB2312" w:eastAsia="仿宋_GB2312" w:cs="仿宋_GB2312"/>
                <w:b w:val="0"/>
                <w:bCs w:val="0"/>
                <w:kern w:val="0"/>
                <w:sz w:val="24"/>
                <w:szCs w:val="24"/>
                <w:lang w:val="en-US" w:eastAsia="zh-CN"/>
              </w:rPr>
              <w:t>分。</w:t>
            </w:r>
          </w:p>
          <w:p w14:paraId="65CC084D">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kern w:val="0"/>
                <w:sz w:val="24"/>
                <w:lang w:val="en-US" w:eastAsia="zh-CN"/>
              </w:rPr>
              <w:t>中级或</w:t>
            </w:r>
            <w:r>
              <w:rPr>
                <w:rFonts w:hint="eastAsia" w:ascii="仿宋_GB2312" w:hAnsi="仿宋_GB2312" w:eastAsia="仿宋_GB2312" w:cs="仿宋_GB2312"/>
                <w:b w:val="0"/>
                <w:bCs w:val="0"/>
                <w:kern w:val="0"/>
                <w:sz w:val="24"/>
                <w:szCs w:val="24"/>
                <w:lang w:val="en"/>
              </w:rPr>
              <w:t>注册会计师占比低于10%</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rPr>
              <w:t>2</w:t>
            </w:r>
            <w:r>
              <w:rPr>
                <w:rFonts w:hint="eastAsia" w:ascii="仿宋_GB2312" w:hAnsi="仿宋_GB2312" w:eastAsia="仿宋_GB2312" w:cs="仿宋_GB2312"/>
                <w:b w:val="0"/>
                <w:bCs w:val="0"/>
                <w:kern w:val="0"/>
                <w:sz w:val="24"/>
                <w:szCs w:val="24"/>
                <w:lang w:val="en-US" w:eastAsia="zh-CN"/>
              </w:rPr>
              <w:t>分。</w:t>
            </w:r>
          </w:p>
          <w:p w14:paraId="7DCA5C8D">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rPr>
              <w:t>人员结构不合理或经验不匹配</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得0分。</w:t>
            </w:r>
          </w:p>
        </w:tc>
      </w:tr>
      <w:tr w14:paraId="3264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19B47385">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restart"/>
            <w:noWrap w:val="0"/>
            <w:vAlign w:val="center"/>
          </w:tcPr>
          <w:p w14:paraId="2C801713">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（三）质量保证（10分）</w:t>
            </w:r>
          </w:p>
        </w:tc>
        <w:tc>
          <w:tcPr>
            <w:tcW w:w="1341" w:type="dxa"/>
            <w:noWrap w:val="0"/>
            <w:vAlign w:val="center"/>
          </w:tcPr>
          <w:p w14:paraId="3CCFB830">
            <w:pPr>
              <w:adjustRightInd/>
              <w:jc w:val="center"/>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US" w:eastAsia="zh-CN"/>
              </w:rPr>
              <w:t>1.质量控制与复核机制</w:t>
            </w:r>
          </w:p>
        </w:tc>
        <w:tc>
          <w:tcPr>
            <w:tcW w:w="1496" w:type="dxa"/>
            <w:noWrap/>
            <w:vAlign w:val="center"/>
          </w:tcPr>
          <w:p w14:paraId="37C7FAA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5分</w:t>
            </w:r>
          </w:p>
        </w:tc>
        <w:tc>
          <w:tcPr>
            <w:tcW w:w="8504" w:type="dxa"/>
            <w:noWrap w:val="0"/>
            <w:vAlign w:val="center"/>
          </w:tcPr>
          <w:p w14:paraId="3C83E26C">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rPr>
              <w:t>有明确的多级复核制度，流程清晰</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5</w:t>
            </w:r>
            <w:r>
              <w:rPr>
                <w:rFonts w:hint="eastAsia" w:ascii="仿宋_GB2312" w:hAnsi="仿宋_GB2312" w:eastAsia="仿宋_GB2312" w:cs="仿宋_GB2312"/>
                <w:b w:val="0"/>
                <w:bCs w:val="0"/>
                <w:kern w:val="0"/>
                <w:sz w:val="24"/>
                <w:szCs w:val="24"/>
                <w:lang w:val="en" w:eastAsia="zh-CN"/>
              </w:rPr>
              <w:t>分。</w:t>
            </w:r>
          </w:p>
          <w:p w14:paraId="7043C258">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rPr>
              <w:t>有复核制度但层级较少或描述不够具体</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3</w:t>
            </w:r>
            <w:r>
              <w:rPr>
                <w:rFonts w:hint="eastAsia" w:ascii="仿宋_GB2312" w:hAnsi="仿宋_GB2312" w:eastAsia="仿宋_GB2312" w:cs="仿宋_GB2312"/>
                <w:b w:val="0"/>
                <w:bCs w:val="0"/>
                <w:kern w:val="0"/>
                <w:sz w:val="24"/>
                <w:szCs w:val="24"/>
                <w:lang w:val="en" w:eastAsia="zh-CN"/>
              </w:rPr>
              <w:t>分。</w:t>
            </w:r>
          </w:p>
          <w:p w14:paraId="158D129F">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rPr>
              <w:t>提及质量控制但无具体制度</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1</w:t>
            </w:r>
            <w:r>
              <w:rPr>
                <w:rFonts w:hint="eastAsia" w:ascii="仿宋_GB2312" w:hAnsi="仿宋_GB2312" w:eastAsia="仿宋_GB2312" w:cs="仿宋_GB2312"/>
                <w:b w:val="0"/>
                <w:bCs w:val="0"/>
                <w:kern w:val="0"/>
                <w:sz w:val="24"/>
                <w:szCs w:val="24"/>
                <w:lang w:val="en" w:eastAsia="zh-CN"/>
              </w:rPr>
              <w:t>分。</w:t>
            </w:r>
          </w:p>
          <w:p w14:paraId="56F7DB51">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rPr>
              <w:t>未提供质量控制措施</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0</w:t>
            </w:r>
            <w:r>
              <w:rPr>
                <w:rFonts w:hint="eastAsia" w:ascii="仿宋_GB2312" w:hAnsi="仿宋_GB2312" w:eastAsia="仿宋_GB2312" w:cs="仿宋_GB2312"/>
                <w:b w:val="0"/>
                <w:bCs w:val="0"/>
                <w:kern w:val="0"/>
                <w:sz w:val="24"/>
                <w:szCs w:val="24"/>
                <w:lang w:val="en" w:eastAsia="zh-CN"/>
              </w:rPr>
              <w:t>分。</w:t>
            </w:r>
          </w:p>
        </w:tc>
      </w:tr>
      <w:tr w14:paraId="4AE7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726C1295">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157684B2">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42B66D28">
            <w:pPr>
              <w:adjustRightInd/>
              <w:jc w:val="center"/>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US" w:eastAsia="zh-CN"/>
              </w:rPr>
              <w:t>2.沟通协调与应急处置机制</w:t>
            </w:r>
          </w:p>
        </w:tc>
        <w:tc>
          <w:tcPr>
            <w:tcW w:w="1496" w:type="dxa"/>
            <w:noWrap/>
            <w:vAlign w:val="center"/>
          </w:tcPr>
          <w:p w14:paraId="448076F0">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5分</w:t>
            </w:r>
          </w:p>
        </w:tc>
        <w:tc>
          <w:tcPr>
            <w:tcW w:w="8504" w:type="dxa"/>
            <w:noWrap w:val="0"/>
            <w:vAlign w:val="center"/>
          </w:tcPr>
          <w:p w14:paraId="4D30B6F1">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rPr>
              <w:t>有定期沟通机制（如周报、即时报告）及针对资料缺失、舞弊线索等突发情况的应急预案</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5</w:t>
            </w:r>
            <w:r>
              <w:rPr>
                <w:rFonts w:hint="eastAsia" w:ascii="仿宋_GB2312" w:hAnsi="仿宋_GB2312" w:eastAsia="仿宋_GB2312" w:cs="仿宋_GB2312"/>
                <w:b w:val="0"/>
                <w:bCs w:val="0"/>
                <w:kern w:val="0"/>
                <w:sz w:val="24"/>
                <w:szCs w:val="24"/>
                <w:lang w:val="en-US" w:eastAsia="zh-CN"/>
              </w:rPr>
              <w:t>分。</w:t>
            </w:r>
          </w:p>
          <w:p w14:paraId="50A98929">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rPr>
              <w:t>有沟通机制但应急预案较为常规</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3</w:t>
            </w:r>
            <w:r>
              <w:rPr>
                <w:rFonts w:hint="eastAsia" w:ascii="仿宋_GB2312" w:hAnsi="仿宋_GB2312" w:eastAsia="仿宋_GB2312" w:cs="仿宋_GB2312"/>
                <w:b w:val="0"/>
                <w:bCs w:val="0"/>
                <w:kern w:val="0"/>
                <w:sz w:val="24"/>
                <w:szCs w:val="24"/>
                <w:lang w:val="en-US" w:eastAsia="zh-CN"/>
              </w:rPr>
              <w:t>分。</w:t>
            </w:r>
          </w:p>
          <w:p w14:paraId="4DC6B290">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rPr>
              <w:t>沟通机制不明确，应急预案缺失</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1</w:t>
            </w:r>
            <w:r>
              <w:rPr>
                <w:rFonts w:hint="eastAsia" w:ascii="仿宋_GB2312" w:hAnsi="仿宋_GB2312" w:eastAsia="仿宋_GB2312" w:cs="仿宋_GB2312"/>
                <w:b w:val="0"/>
                <w:bCs w:val="0"/>
                <w:kern w:val="0"/>
                <w:sz w:val="24"/>
                <w:szCs w:val="24"/>
                <w:lang w:val="en-US" w:eastAsia="zh-CN"/>
              </w:rPr>
              <w:t>分。</w:t>
            </w:r>
          </w:p>
          <w:p w14:paraId="34C91FEF">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rPr>
              <w:t>无相关机制说明</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得</w:t>
            </w:r>
            <w:r>
              <w:rPr>
                <w:rFonts w:hint="eastAsia" w:ascii="仿宋_GB2312" w:hAnsi="仿宋_GB2312" w:eastAsia="仿宋_GB2312" w:cs="仿宋_GB2312"/>
                <w:b w:val="0"/>
                <w:bCs w:val="0"/>
                <w:kern w:val="0"/>
                <w:sz w:val="24"/>
                <w:szCs w:val="24"/>
                <w:lang w:val="en"/>
              </w:rPr>
              <w:t>0</w:t>
            </w:r>
            <w:r>
              <w:rPr>
                <w:rFonts w:hint="eastAsia" w:ascii="仿宋_GB2312" w:hAnsi="仿宋_GB2312" w:eastAsia="仿宋_GB2312" w:cs="仿宋_GB2312"/>
                <w:b w:val="0"/>
                <w:bCs w:val="0"/>
                <w:kern w:val="0"/>
                <w:sz w:val="24"/>
                <w:szCs w:val="24"/>
                <w:lang w:val="en-US" w:eastAsia="zh-CN"/>
              </w:rPr>
              <w:t>分。</w:t>
            </w:r>
          </w:p>
        </w:tc>
      </w:tr>
      <w:tr w14:paraId="07E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92" w:type="dxa"/>
            <w:vMerge w:val="restart"/>
            <w:noWrap w:val="0"/>
            <w:vAlign w:val="center"/>
          </w:tcPr>
          <w:p w14:paraId="378B83F7">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二、商务（20分）</w:t>
            </w:r>
          </w:p>
        </w:tc>
        <w:tc>
          <w:tcPr>
            <w:tcW w:w="1281" w:type="dxa"/>
            <w:noWrap w:val="0"/>
            <w:vAlign w:val="center"/>
          </w:tcPr>
          <w:p w14:paraId="754B0FA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（一）供应商综合实力（15分）</w:t>
            </w:r>
          </w:p>
        </w:tc>
        <w:tc>
          <w:tcPr>
            <w:tcW w:w="1341" w:type="dxa"/>
            <w:noWrap w:val="0"/>
            <w:vAlign w:val="center"/>
          </w:tcPr>
          <w:p w14:paraId="0DAB7996">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同类项目业绩</w:t>
            </w:r>
          </w:p>
        </w:tc>
        <w:tc>
          <w:tcPr>
            <w:tcW w:w="1496" w:type="dxa"/>
            <w:noWrap/>
            <w:vAlign w:val="center"/>
          </w:tcPr>
          <w:p w14:paraId="0F0D8313">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786DBC1A">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US" w:eastAsia="zh-CN"/>
              </w:rPr>
              <w:t>（</w:t>
            </w:r>
            <w:r>
              <w:rPr>
                <w:rFonts w:hint="default" w:ascii="仿宋_GB2312" w:hAnsi="仿宋_GB2312" w:eastAsia="仿宋_GB2312" w:cs="仿宋_GB2312"/>
                <w:b w:val="0"/>
                <w:bCs w:val="0"/>
                <w:kern w:val="0"/>
                <w:sz w:val="24"/>
                <w:szCs w:val="24"/>
                <w:lang w:val="en-US" w:eastAsia="zh-CN"/>
              </w:rPr>
              <w:t>1）</w:t>
            </w:r>
            <w:r>
              <w:rPr>
                <w:rFonts w:hint="default" w:ascii="仿宋_GB2312" w:hAnsi="仿宋_GB2312" w:eastAsia="仿宋_GB2312" w:cs="仿宋_GB2312"/>
                <w:b w:val="0"/>
                <w:bCs w:val="0"/>
                <w:kern w:val="0"/>
                <w:sz w:val="24"/>
                <w:szCs w:val="24"/>
                <w:lang w:val="en-US"/>
              </w:rPr>
              <w:t>近3年内每提供1个同类型</w:t>
            </w:r>
            <w:r>
              <w:rPr>
                <w:rFonts w:hint="eastAsia" w:ascii="仿宋_GB2312" w:hAnsi="仿宋_GB2312" w:eastAsia="仿宋_GB2312" w:cs="仿宋_GB2312"/>
                <w:b w:val="0"/>
                <w:bCs w:val="0"/>
                <w:kern w:val="0"/>
                <w:sz w:val="24"/>
                <w:szCs w:val="24"/>
                <w:lang w:val="en-US" w:eastAsia="zh-CN"/>
              </w:rPr>
              <w:t>年报</w:t>
            </w:r>
            <w:r>
              <w:rPr>
                <w:rFonts w:hint="default" w:ascii="仿宋_GB2312" w:hAnsi="仿宋_GB2312" w:eastAsia="仿宋_GB2312" w:cs="仿宋_GB2312"/>
                <w:b w:val="0"/>
                <w:bCs w:val="0"/>
                <w:kern w:val="0"/>
                <w:sz w:val="24"/>
                <w:szCs w:val="24"/>
                <w:lang w:val="en-US"/>
              </w:rPr>
              <w:t>审计服务合同或相关证明文件得3分，最高15分。</w:t>
            </w:r>
          </w:p>
          <w:p w14:paraId="3691C857">
            <w:pPr>
              <w:adjustRightInd/>
              <w:textAlignment w:val="auto"/>
              <w:rPr>
                <w:rFonts w:hint="default" w:ascii="仿宋_GB2312" w:hAnsi="仿宋_GB2312" w:eastAsia="仿宋_GB2312" w:cs="仿宋_GB2312"/>
                <w:b w:val="0"/>
                <w:bCs w:val="0"/>
                <w:kern w:val="0"/>
                <w:sz w:val="24"/>
                <w:szCs w:val="24"/>
                <w:lang w:val="en-US"/>
              </w:rPr>
            </w:pPr>
            <w:r>
              <w:rPr>
                <w:rFonts w:hint="default" w:ascii="仿宋_GB2312" w:hAnsi="仿宋_GB2312" w:eastAsia="仿宋_GB2312" w:cs="仿宋_GB2312"/>
                <w:b w:val="0"/>
                <w:bCs w:val="0"/>
                <w:kern w:val="0"/>
                <w:sz w:val="24"/>
                <w:szCs w:val="24"/>
                <w:lang w:val="en-US" w:eastAsia="zh-CN"/>
              </w:rPr>
              <w:t>（2）</w:t>
            </w:r>
            <w:r>
              <w:rPr>
                <w:rFonts w:hint="default" w:ascii="仿宋_GB2312" w:hAnsi="仿宋_GB2312" w:eastAsia="仿宋_GB2312" w:cs="仿宋_GB2312"/>
                <w:b w:val="0"/>
                <w:bCs w:val="0"/>
                <w:kern w:val="0"/>
                <w:sz w:val="24"/>
                <w:szCs w:val="24"/>
                <w:lang w:val="en-US"/>
              </w:rPr>
              <w:t>无证明材料不得分。</w:t>
            </w:r>
          </w:p>
        </w:tc>
      </w:tr>
      <w:tr w14:paraId="035A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09AF8D87">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noWrap w:val="0"/>
            <w:vAlign w:val="center"/>
          </w:tcPr>
          <w:p w14:paraId="4EC196CA">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（二）服务承诺（</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p>
        </w:tc>
        <w:tc>
          <w:tcPr>
            <w:tcW w:w="1341" w:type="dxa"/>
            <w:noWrap w:val="0"/>
            <w:vAlign w:val="center"/>
          </w:tcPr>
          <w:p w14:paraId="65E6080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保密、独立与廉政承诺</w:t>
            </w:r>
          </w:p>
        </w:tc>
        <w:tc>
          <w:tcPr>
            <w:tcW w:w="1496" w:type="dxa"/>
            <w:noWrap/>
            <w:vAlign w:val="center"/>
          </w:tcPr>
          <w:p w14:paraId="4142D070">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1CE2FA37">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（1）</w:t>
            </w:r>
            <w:r>
              <w:rPr>
                <w:rFonts w:hint="eastAsia" w:ascii="仿宋_GB2312" w:hAnsi="仿宋_GB2312" w:eastAsia="仿宋_GB2312" w:cs="仿宋_GB2312"/>
                <w:b w:val="0"/>
                <w:bCs w:val="0"/>
                <w:kern w:val="0"/>
                <w:sz w:val="24"/>
                <w:szCs w:val="24"/>
                <w:lang w:val="en"/>
              </w:rPr>
              <w:t>承诺完全响应采购文件中关于保密、独立性、廉政纪律、数据安全、知识产权、后续服务等全部要求，并提供具体保障措施</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3</w:t>
            </w:r>
            <w:r>
              <w:rPr>
                <w:rFonts w:hint="eastAsia" w:ascii="仿宋_GB2312" w:hAnsi="仿宋_GB2312" w:eastAsia="仿宋_GB2312" w:cs="仿宋_GB2312"/>
                <w:b w:val="0"/>
                <w:bCs w:val="0"/>
                <w:kern w:val="0"/>
                <w:sz w:val="24"/>
                <w:szCs w:val="24"/>
                <w:lang w:val="en" w:eastAsia="zh-CN"/>
              </w:rPr>
              <w:t>分。</w:t>
            </w:r>
          </w:p>
          <w:p w14:paraId="73D73319">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（2）</w:t>
            </w:r>
            <w:r>
              <w:rPr>
                <w:rFonts w:hint="eastAsia" w:ascii="仿宋_GB2312" w:hAnsi="仿宋_GB2312" w:eastAsia="仿宋_GB2312" w:cs="仿宋_GB2312"/>
                <w:b w:val="0"/>
                <w:bCs w:val="0"/>
                <w:kern w:val="0"/>
                <w:sz w:val="24"/>
                <w:szCs w:val="24"/>
                <w:lang w:val="en"/>
              </w:rPr>
              <w:t>承诺较为笼统，无具体措施</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1</w:t>
            </w:r>
            <w:r>
              <w:rPr>
                <w:rFonts w:hint="eastAsia" w:ascii="仿宋_GB2312" w:hAnsi="仿宋_GB2312" w:eastAsia="仿宋_GB2312" w:cs="仿宋_GB2312"/>
                <w:b w:val="0"/>
                <w:bCs w:val="0"/>
                <w:kern w:val="0"/>
                <w:sz w:val="24"/>
                <w:szCs w:val="24"/>
                <w:lang w:val="en" w:eastAsia="zh-CN"/>
              </w:rPr>
              <w:t>分。</w:t>
            </w:r>
          </w:p>
          <w:p w14:paraId="3DC26488">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（3）</w:t>
            </w:r>
            <w:r>
              <w:rPr>
                <w:rFonts w:hint="eastAsia" w:ascii="仿宋_GB2312" w:hAnsi="仿宋_GB2312" w:eastAsia="仿宋_GB2312" w:cs="仿宋_GB2312"/>
                <w:b w:val="0"/>
                <w:bCs w:val="0"/>
                <w:kern w:val="0"/>
                <w:sz w:val="24"/>
                <w:szCs w:val="24"/>
                <w:lang w:val="en"/>
              </w:rPr>
              <w:t>未提供承诺或承诺不完整</w:t>
            </w:r>
            <w:r>
              <w:rPr>
                <w:rFonts w:hint="eastAsia" w:ascii="仿宋_GB2312" w:hAnsi="仿宋_GB2312" w:eastAsia="仿宋_GB2312" w:cs="仿宋_GB2312"/>
                <w:b w:val="0"/>
                <w:bCs w:val="0"/>
                <w:kern w:val="0"/>
                <w:sz w:val="24"/>
                <w:szCs w:val="24"/>
                <w:lang w:val="en" w:eastAsia="zh-CN"/>
              </w:rPr>
              <w:t>，得</w:t>
            </w:r>
            <w:r>
              <w:rPr>
                <w:rFonts w:hint="eastAsia" w:ascii="仿宋_GB2312" w:hAnsi="仿宋_GB2312" w:eastAsia="仿宋_GB2312" w:cs="仿宋_GB2312"/>
                <w:b w:val="0"/>
                <w:bCs w:val="0"/>
                <w:kern w:val="0"/>
                <w:sz w:val="24"/>
                <w:szCs w:val="24"/>
                <w:lang w:val="en"/>
              </w:rPr>
              <w:t>0</w:t>
            </w:r>
            <w:r>
              <w:rPr>
                <w:rFonts w:hint="eastAsia" w:ascii="仿宋_GB2312" w:hAnsi="仿宋_GB2312" w:eastAsia="仿宋_GB2312" w:cs="仿宋_GB2312"/>
                <w:b w:val="0"/>
                <w:bCs w:val="0"/>
                <w:kern w:val="0"/>
                <w:sz w:val="24"/>
                <w:szCs w:val="24"/>
                <w:lang w:val="en" w:eastAsia="zh-CN"/>
              </w:rPr>
              <w:t>分。</w:t>
            </w:r>
          </w:p>
        </w:tc>
      </w:tr>
      <w:tr w14:paraId="03A3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092" w:type="dxa"/>
            <w:vMerge w:val="continue"/>
            <w:noWrap w:val="0"/>
            <w:vAlign w:val="center"/>
          </w:tcPr>
          <w:p w14:paraId="27E2AE2C">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noWrap w:val="0"/>
            <w:vAlign w:val="center"/>
          </w:tcPr>
          <w:p w14:paraId="288B1B5E">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（三）诚信情况（2分）</w:t>
            </w:r>
          </w:p>
        </w:tc>
        <w:tc>
          <w:tcPr>
            <w:tcW w:w="1341" w:type="dxa"/>
            <w:noWrap w:val="0"/>
            <w:vAlign w:val="center"/>
          </w:tcPr>
          <w:p w14:paraId="3531FDC5">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市财政局诚信管理情况</w:t>
            </w:r>
          </w:p>
        </w:tc>
        <w:tc>
          <w:tcPr>
            <w:tcW w:w="1496" w:type="dxa"/>
            <w:noWrap/>
            <w:vAlign w:val="center"/>
          </w:tcPr>
          <w:p w14:paraId="7252480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2分</w:t>
            </w:r>
          </w:p>
        </w:tc>
        <w:tc>
          <w:tcPr>
            <w:tcW w:w="8504" w:type="dxa"/>
            <w:noWrap w:val="0"/>
            <w:vAlign w:val="center"/>
          </w:tcPr>
          <w:p w14:paraId="36AD01B9">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根据《深圳市财政局关于印发〈深圳市财政局政府采购供应商信用信息管理办法〉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2分。</w:t>
            </w:r>
          </w:p>
        </w:tc>
      </w:tr>
      <w:tr w14:paraId="141F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noWrap w:val="0"/>
            <w:vAlign w:val="center"/>
          </w:tcPr>
          <w:p w14:paraId="506B5694">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三、价格（10分）</w:t>
            </w:r>
          </w:p>
        </w:tc>
        <w:tc>
          <w:tcPr>
            <w:tcW w:w="1281" w:type="dxa"/>
            <w:noWrap w:val="0"/>
            <w:vAlign w:val="center"/>
          </w:tcPr>
          <w:p w14:paraId="4E79ACE0">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价格指标（10分）</w:t>
            </w:r>
          </w:p>
        </w:tc>
        <w:tc>
          <w:tcPr>
            <w:tcW w:w="1341" w:type="dxa"/>
            <w:noWrap/>
            <w:vAlign w:val="center"/>
          </w:tcPr>
          <w:p w14:paraId="25E50C33">
            <w:pPr>
              <w:adjustRightInd/>
              <w:jc w:val="center"/>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价格指标</w:t>
            </w:r>
          </w:p>
        </w:tc>
        <w:tc>
          <w:tcPr>
            <w:tcW w:w="1496" w:type="dxa"/>
            <w:noWrap w:val="0"/>
            <w:vAlign w:val="center"/>
          </w:tcPr>
          <w:p w14:paraId="78245C3A">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10分</w:t>
            </w:r>
          </w:p>
        </w:tc>
        <w:tc>
          <w:tcPr>
            <w:tcW w:w="8504" w:type="dxa"/>
            <w:noWrap w:val="0"/>
            <w:vAlign w:val="center"/>
          </w:tcPr>
          <w:p w14:paraId="718446FA">
            <w:pPr>
              <w:adjustRightInd/>
              <w:jc w:val="left"/>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在满足采购文件全部实质性要求的前提下，以评标最低价为基数计算价格分：价格分=（评标最低价/投标报价）×价格分值。</w:t>
            </w:r>
          </w:p>
        </w:tc>
      </w:tr>
    </w:tbl>
    <w:p w14:paraId="17F4D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32"/>
          <w:szCs w:val="32"/>
          <w:highlight w:val="none"/>
          <w:lang w:eastAsia="zh-CN"/>
        </w:rPr>
        <w:sectPr>
          <w:pgSz w:w="16838" w:h="11906" w:orient="landscape"/>
          <w:pgMar w:top="1587" w:right="2098" w:bottom="1474" w:left="1984" w:header="851" w:footer="992" w:gutter="0"/>
          <w:cols w:space="425" w:num="1"/>
          <w:docGrid w:type="lines" w:linePitch="312" w:charSpace="0"/>
        </w:sectPr>
      </w:pPr>
    </w:p>
    <w:p w14:paraId="1C66B537">
      <w:pPr>
        <w:numPr>
          <w:ilvl w:val="-1"/>
          <w:numId w:val="0"/>
        </w:numPr>
        <w:spacing w:line="560" w:lineRule="exact"/>
        <w:ind w:firstLine="0" w:firstLineChars="0"/>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10A4070D">
      <w:pPr>
        <w:jc w:val="center"/>
        <w:rPr>
          <w:rFonts w:hint="eastAsia" w:ascii="黑体" w:hAnsi="宋体" w:eastAsia="黑体" w:cs="Times New Roman"/>
          <w:color w:val="auto"/>
          <w:sz w:val="36"/>
          <w:szCs w:val="36"/>
          <w:highlight w:val="none"/>
        </w:rPr>
      </w:pPr>
      <w:r>
        <w:rPr>
          <w:rFonts w:hint="eastAsia" w:ascii="黑体" w:hAnsi="宋体" w:eastAsia="黑体" w:cs="Times New Roman"/>
          <w:color w:val="auto"/>
          <w:sz w:val="36"/>
          <w:szCs w:val="36"/>
          <w:highlight w:val="none"/>
        </w:rPr>
        <w:t>政府采购需求编制模板（</w:t>
      </w:r>
      <w:r>
        <w:rPr>
          <w:rFonts w:hint="eastAsia" w:ascii="黑体" w:hAnsi="宋体" w:eastAsia="黑体" w:cs="Times New Roman"/>
          <w:color w:val="auto"/>
          <w:sz w:val="36"/>
          <w:szCs w:val="36"/>
          <w:highlight w:val="none"/>
          <w:lang w:val="en-US" w:eastAsia="zh-CN"/>
        </w:rPr>
        <w:t>年报审计服务</w:t>
      </w:r>
      <w:r>
        <w:rPr>
          <w:rFonts w:hint="eastAsia" w:ascii="黑体" w:hAnsi="宋体" w:eastAsia="黑体" w:cs="Times New Roman"/>
          <w:color w:val="auto"/>
          <w:sz w:val="36"/>
          <w:szCs w:val="36"/>
          <w:highlight w:val="none"/>
        </w:rPr>
        <w:t>）</w:t>
      </w:r>
    </w:p>
    <w:tbl>
      <w:tblPr>
        <w:tblStyle w:val="8"/>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15"/>
        <w:gridCol w:w="1870"/>
        <w:gridCol w:w="1870"/>
        <w:gridCol w:w="1870"/>
        <w:gridCol w:w="1874"/>
      </w:tblGrid>
      <w:tr w14:paraId="69C0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DE7E24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采购</w:t>
            </w:r>
            <w:r>
              <w:rPr>
                <w:rFonts w:hint="eastAsia" w:ascii="仿宋_GB2312" w:hAnsi="仿宋_GB2312" w:eastAsia="仿宋_GB2312" w:cs="仿宋_GB2312"/>
                <w:b/>
                <w:bCs/>
                <w:color w:val="auto"/>
                <w:sz w:val="24"/>
                <w:szCs w:val="24"/>
                <w:highlight w:val="none"/>
              </w:rPr>
              <w:t>项目名称</w:t>
            </w:r>
          </w:p>
        </w:tc>
        <w:tc>
          <w:tcPr>
            <w:tcW w:w="1999" w:type="pct"/>
            <w:gridSpan w:val="2"/>
            <w:noWrap w:val="0"/>
            <w:vAlign w:val="center"/>
          </w:tcPr>
          <w:p w14:paraId="723B7325">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“被审计单位名称+审计年份+审计项目名称”年报审计采购项目（示例）</w:t>
            </w:r>
          </w:p>
        </w:tc>
        <w:tc>
          <w:tcPr>
            <w:tcW w:w="999" w:type="pct"/>
            <w:noWrap w:val="0"/>
            <w:vAlign w:val="center"/>
          </w:tcPr>
          <w:p w14:paraId="72B2005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采购类型</w:t>
            </w:r>
          </w:p>
        </w:tc>
        <w:tc>
          <w:tcPr>
            <w:tcW w:w="1001" w:type="pct"/>
            <w:noWrap w:val="0"/>
            <w:vAlign w:val="center"/>
          </w:tcPr>
          <w:p w14:paraId="0C0D5D4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服务类</w:t>
            </w:r>
          </w:p>
        </w:tc>
      </w:tr>
      <w:tr w14:paraId="7F8A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5D7312B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采购预算上限</w:t>
            </w:r>
          </w:p>
        </w:tc>
        <w:tc>
          <w:tcPr>
            <w:tcW w:w="1999" w:type="pct"/>
            <w:gridSpan w:val="2"/>
            <w:noWrap w:val="0"/>
            <w:vAlign w:val="center"/>
          </w:tcPr>
          <w:p w14:paraId="737BECF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**元（大写**元整）</w:t>
            </w:r>
          </w:p>
        </w:tc>
        <w:tc>
          <w:tcPr>
            <w:tcW w:w="999" w:type="pct"/>
            <w:noWrap w:val="0"/>
            <w:vAlign w:val="center"/>
          </w:tcPr>
          <w:p w14:paraId="35F43AA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
              </w:rPr>
              <w:t>采购方</w:t>
            </w:r>
            <w:r>
              <w:rPr>
                <w:rFonts w:hint="eastAsia" w:ascii="仿宋_GB2312" w:hAnsi="仿宋_GB2312" w:eastAsia="仿宋_GB2312" w:cs="仿宋_GB2312"/>
                <w:b/>
                <w:bCs/>
                <w:color w:val="auto"/>
                <w:sz w:val="24"/>
                <w:szCs w:val="24"/>
                <w:highlight w:val="none"/>
              </w:rPr>
              <w:t>式</w:t>
            </w:r>
          </w:p>
        </w:tc>
        <w:tc>
          <w:tcPr>
            <w:tcW w:w="1001" w:type="pct"/>
            <w:noWrap w:val="0"/>
            <w:vAlign w:val="center"/>
          </w:tcPr>
          <w:p w14:paraId="35BAECC0">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cs="仿宋_GB2312" w:eastAsiaTheme="minorEastAsia"/>
                <w:b/>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公开招标</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竞争性磋商、框架协议采购等</w:t>
            </w:r>
          </w:p>
        </w:tc>
      </w:tr>
      <w:tr w14:paraId="0BC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gridSpan w:val="2"/>
            <w:noWrap w:val="0"/>
            <w:vAlign w:val="center"/>
          </w:tcPr>
          <w:p w14:paraId="599409F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被审计单位</w:t>
            </w:r>
          </w:p>
        </w:tc>
        <w:tc>
          <w:tcPr>
            <w:tcW w:w="999" w:type="pct"/>
            <w:noWrap w:val="0"/>
            <w:vAlign w:val="center"/>
          </w:tcPr>
          <w:p w14:paraId="24D9560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审计年度</w:t>
            </w:r>
          </w:p>
        </w:tc>
        <w:tc>
          <w:tcPr>
            <w:tcW w:w="999" w:type="pct"/>
            <w:noWrap w:val="0"/>
            <w:vAlign w:val="center"/>
          </w:tcPr>
          <w:p w14:paraId="542DF9B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审计项目名称</w:t>
            </w:r>
          </w:p>
        </w:tc>
        <w:tc>
          <w:tcPr>
            <w:tcW w:w="999" w:type="pct"/>
            <w:noWrap w:val="0"/>
            <w:vAlign w:val="center"/>
          </w:tcPr>
          <w:p w14:paraId="1373D6D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审计类型</w:t>
            </w:r>
          </w:p>
        </w:tc>
        <w:tc>
          <w:tcPr>
            <w:tcW w:w="1001" w:type="pct"/>
            <w:noWrap w:val="0"/>
            <w:vAlign w:val="center"/>
          </w:tcPr>
          <w:p w14:paraId="0900C9C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审计规模</w:t>
            </w:r>
          </w:p>
        </w:tc>
      </w:tr>
      <w:tr w14:paraId="0F8A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0E11406A">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**单位（部门）</w:t>
            </w:r>
          </w:p>
        </w:tc>
        <w:tc>
          <w:tcPr>
            <w:tcW w:w="999" w:type="pct"/>
            <w:noWrap w:val="0"/>
            <w:vAlign w:val="center"/>
          </w:tcPr>
          <w:p w14:paraId="6BCE69B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202*年/202*年-202*年</w:t>
            </w:r>
          </w:p>
        </w:tc>
        <w:tc>
          <w:tcPr>
            <w:tcW w:w="999" w:type="pct"/>
            <w:noWrap w:val="0"/>
            <w:vAlign w:val="center"/>
          </w:tcPr>
          <w:p w14:paraId="6F7891D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w:t>
            </w:r>
          </w:p>
        </w:tc>
        <w:tc>
          <w:tcPr>
            <w:tcW w:w="999" w:type="pct"/>
            <w:noWrap w:val="0"/>
            <w:vAlign w:val="center"/>
          </w:tcPr>
          <w:p w14:paraId="23ABA47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年报审计</w:t>
            </w:r>
          </w:p>
        </w:tc>
        <w:tc>
          <w:tcPr>
            <w:tcW w:w="1001" w:type="pct"/>
            <w:noWrap w:val="0"/>
            <w:vAlign w:val="center"/>
          </w:tcPr>
          <w:p w14:paraId="14E6A73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填报被审计项目在审计年度内的收入、资金、资产等情况</w:t>
            </w:r>
          </w:p>
        </w:tc>
      </w:tr>
      <w:tr w14:paraId="30F3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1F28FB4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若采购包含多个审计项目，可自行增加行数填报。</w:t>
            </w:r>
          </w:p>
        </w:tc>
        <w:tc>
          <w:tcPr>
            <w:tcW w:w="999" w:type="pct"/>
            <w:noWrap w:val="0"/>
            <w:vAlign w:val="center"/>
          </w:tcPr>
          <w:p w14:paraId="735E9E4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999" w:type="pct"/>
            <w:noWrap w:val="0"/>
            <w:vAlign w:val="center"/>
          </w:tcPr>
          <w:p w14:paraId="45A3697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999" w:type="pct"/>
            <w:noWrap w:val="0"/>
            <w:vAlign w:val="center"/>
          </w:tcPr>
          <w:p w14:paraId="4EC7E26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001" w:type="pct"/>
            <w:noWrap w:val="0"/>
            <w:vAlign w:val="center"/>
          </w:tcPr>
          <w:p w14:paraId="00C2E97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r w14:paraId="4644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14C64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项目背景</w:t>
            </w:r>
          </w:p>
        </w:tc>
        <w:tc>
          <w:tcPr>
            <w:tcW w:w="4000" w:type="pct"/>
            <w:gridSpan w:val="4"/>
            <w:noWrap w:val="0"/>
            <w:vAlign w:val="center"/>
          </w:tcPr>
          <w:p w14:paraId="23466A1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简要阐述本次采购的缘由、政策或现实依据</w:t>
            </w:r>
          </w:p>
        </w:tc>
      </w:tr>
      <w:tr w14:paraId="4294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4406FD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采购目标</w:t>
            </w:r>
          </w:p>
        </w:tc>
        <w:tc>
          <w:tcPr>
            <w:tcW w:w="4000" w:type="pct"/>
            <w:gridSpan w:val="4"/>
            <w:noWrap w:val="0"/>
            <w:vAlign w:val="center"/>
          </w:tcPr>
          <w:p w14:paraId="21B3C337">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简要阐述本次采购的目标，预期达到什么效果</w:t>
            </w:r>
          </w:p>
        </w:tc>
      </w:tr>
      <w:tr w14:paraId="1CE7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488641D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任务清单</w:t>
            </w:r>
          </w:p>
        </w:tc>
        <w:tc>
          <w:tcPr>
            <w:tcW w:w="4000" w:type="pct"/>
            <w:gridSpan w:val="4"/>
            <w:noWrap w:val="0"/>
            <w:vAlign w:val="center"/>
          </w:tcPr>
          <w:p w14:paraId="2F678035">
            <w:pPr>
              <w:pStyle w:val="3"/>
              <w:rPr>
                <w:rFonts w:hint="default"/>
                <w:color w:val="auto"/>
                <w:highlight w:val="none"/>
                <w:lang w:val="en-US" w:eastAsia="zh-CN"/>
              </w:rPr>
            </w:pPr>
            <w:r>
              <w:rPr>
                <w:rFonts w:hint="eastAsia"/>
                <w:color w:val="auto"/>
                <w:highlight w:val="none"/>
                <w:lang w:val="en-US" w:eastAsia="zh-CN"/>
              </w:rPr>
              <w:t>《</w:t>
            </w:r>
            <w:r>
              <w:rPr>
                <w:rFonts w:hint="eastAsia" w:ascii="仿宋_GB2312" w:hAnsi="仿宋_GB2312" w:eastAsia="仿宋_GB2312" w:cs="仿宋_GB2312"/>
                <w:color w:val="auto"/>
                <w:sz w:val="24"/>
                <w:szCs w:val="24"/>
                <w:highlight w:val="none"/>
                <w:lang w:val="en-US" w:eastAsia="zh-CN"/>
              </w:rPr>
              <w:t>**</w:t>
            </w:r>
            <w:r>
              <w:rPr>
                <w:rFonts w:hint="eastAsia"/>
                <w:color w:val="auto"/>
                <w:highlight w:val="none"/>
                <w:lang w:val="en-US" w:eastAsia="zh-CN"/>
              </w:rPr>
              <w:t>单位</w:t>
            </w:r>
            <w:r>
              <w:rPr>
                <w:rFonts w:hint="eastAsia" w:ascii="仿宋_GB2312" w:hAnsi="仿宋_GB2312" w:eastAsia="仿宋_GB2312" w:cs="仿宋_GB2312"/>
                <w:color w:val="auto"/>
                <w:sz w:val="24"/>
                <w:szCs w:val="24"/>
                <w:highlight w:val="none"/>
                <w:lang w:val="en-US" w:eastAsia="zh-CN"/>
              </w:rPr>
              <w:t>**</w:t>
            </w:r>
            <w:r>
              <w:rPr>
                <w:rFonts w:hint="eastAsia"/>
                <w:color w:val="auto"/>
                <w:highlight w:val="none"/>
                <w:lang w:val="en-US" w:eastAsia="zh-CN"/>
              </w:rPr>
              <w:t>年度</w:t>
            </w:r>
            <w:r>
              <w:rPr>
                <w:rFonts w:hint="eastAsia" w:ascii="仿宋_GB2312" w:hAnsi="仿宋_GB2312" w:eastAsia="仿宋_GB2312" w:cs="仿宋_GB2312"/>
                <w:color w:val="auto"/>
                <w:sz w:val="24"/>
                <w:szCs w:val="24"/>
                <w:highlight w:val="none"/>
                <w:lang w:val="en-US" w:eastAsia="zh-CN"/>
              </w:rPr>
              <w:t>**</w:t>
            </w:r>
            <w:r>
              <w:rPr>
                <w:rFonts w:hint="eastAsia"/>
                <w:color w:val="auto"/>
                <w:highlight w:val="none"/>
                <w:lang w:val="en-US" w:eastAsia="zh-CN"/>
              </w:rPr>
              <w:t>项目年报审计》</w:t>
            </w:r>
          </w:p>
        </w:tc>
      </w:tr>
      <w:tr w14:paraId="499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3" w:type="pct"/>
            <w:noWrap w:val="0"/>
            <w:textDirection w:val="tbRlV"/>
            <w:vAlign w:val="center"/>
          </w:tcPr>
          <w:p w14:paraId="01E83D09">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投 标 人 资 格 要 求</w:t>
            </w:r>
          </w:p>
        </w:tc>
        <w:tc>
          <w:tcPr>
            <w:tcW w:w="4596" w:type="pct"/>
            <w:gridSpan w:val="5"/>
            <w:noWrap w:val="0"/>
            <w:vAlign w:val="top"/>
          </w:tcPr>
          <w:p w14:paraId="74C745C6">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投标人</w:t>
            </w:r>
            <w:r>
              <w:rPr>
                <w:rFonts w:hint="eastAsia" w:ascii="仿宋_GB2312" w:hAnsi="仿宋_GB2312" w:eastAsia="仿宋_GB2312" w:cs="仿宋_GB2312"/>
                <w:b/>
                <w:color w:val="auto"/>
                <w:sz w:val="24"/>
                <w:szCs w:val="24"/>
                <w:highlight w:val="none"/>
              </w:rPr>
              <w:t>资格要求</w:t>
            </w:r>
          </w:p>
          <w:p w14:paraId="1AF3F34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一、……</w:t>
            </w:r>
          </w:p>
          <w:p w14:paraId="2B1F3445">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二、……</w:t>
            </w:r>
          </w:p>
          <w:p w14:paraId="7116A59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三、……</w:t>
            </w:r>
          </w:p>
        </w:tc>
      </w:tr>
      <w:tr w14:paraId="46B2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3" w:type="pct"/>
            <w:noWrap w:val="0"/>
            <w:textDirection w:val="tbRlV"/>
            <w:vAlign w:val="center"/>
          </w:tcPr>
          <w:p w14:paraId="72B7C916">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 术 要 求</w:t>
            </w:r>
          </w:p>
        </w:tc>
        <w:tc>
          <w:tcPr>
            <w:tcW w:w="4596" w:type="pct"/>
            <w:gridSpan w:val="5"/>
            <w:noWrap w:val="0"/>
            <w:vAlign w:val="top"/>
          </w:tcPr>
          <w:p w14:paraId="2F069CC6">
            <w:pPr>
              <w:spacing w:line="460" w:lineRule="exact"/>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val="en-US" w:eastAsia="zh-CN"/>
              </w:rPr>
              <w:t>成果交付要求</w:t>
            </w:r>
          </w:p>
          <w:p w14:paraId="1AD4E1C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Cs/>
                <w:color w:val="auto"/>
                <w:sz w:val="24"/>
                <w:szCs w:val="24"/>
                <w:highlight w:val="none"/>
                <w:lang w:val="en-US" w:eastAsia="zh-CN"/>
              </w:rPr>
            </w:pPr>
          </w:p>
          <w:p w14:paraId="79B8FE1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二、人员配置要求</w:t>
            </w:r>
          </w:p>
          <w:p w14:paraId="6D7F306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kern w:val="0"/>
                <w:sz w:val="24"/>
                <w:szCs w:val="24"/>
                <w:highlight w:val="none"/>
              </w:rPr>
            </w:pPr>
          </w:p>
        </w:tc>
      </w:tr>
      <w:tr w14:paraId="3677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3" w:type="pct"/>
            <w:noWrap w:val="0"/>
            <w:textDirection w:val="tbRlV"/>
            <w:vAlign w:val="top"/>
          </w:tcPr>
          <w:p w14:paraId="7F43C92A">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商 务 </w:t>
            </w:r>
            <w:r>
              <w:rPr>
                <w:rFonts w:hint="eastAsia" w:ascii="仿宋_GB2312" w:hAnsi="仿宋_GB2312" w:eastAsia="仿宋_GB2312" w:cs="仿宋_GB2312"/>
                <w:color w:val="auto"/>
                <w:kern w:val="0"/>
                <w:sz w:val="24"/>
                <w:szCs w:val="24"/>
                <w:highlight w:val="none"/>
                <w:lang w:val="en-US" w:eastAsia="zh-CN"/>
              </w:rPr>
              <w:t>要</w:t>
            </w:r>
            <w:r>
              <w:rPr>
                <w:rFonts w:hint="eastAsia" w:ascii="仿宋_GB2312" w:hAnsi="仿宋_GB2312" w:eastAsia="仿宋_GB2312" w:cs="仿宋_GB2312"/>
                <w:color w:val="auto"/>
                <w:kern w:val="0"/>
                <w:sz w:val="24"/>
                <w:szCs w:val="24"/>
                <w:highlight w:val="none"/>
              </w:rPr>
              <w:t xml:space="preserve"> 求</w:t>
            </w:r>
          </w:p>
        </w:tc>
        <w:tc>
          <w:tcPr>
            <w:tcW w:w="4596" w:type="pct"/>
            <w:gridSpan w:val="5"/>
            <w:noWrap w:val="0"/>
            <w:vAlign w:val="top"/>
          </w:tcPr>
          <w:p w14:paraId="198CF08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color w:val="auto"/>
                <w:sz w:val="24"/>
                <w:szCs w:val="24"/>
                <w:highlight w:val="none"/>
              </w:rPr>
              <w:t>一、服务期限</w:t>
            </w:r>
          </w:p>
          <w:p w14:paraId="0EFCE41D">
            <w:pPr>
              <w:spacing w:line="460" w:lineRule="exact"/>
              <w:jc w:val="left"/>
              <w:rPr>
                <w:rFonts w:hint="eastAsia"/>
                <w:color w:val="auto"/>
                <w:highlight w:val="none"/>
              </w:rPr>
            </w:pPr>
          </w:p>
          <w:p w14:paraId="6054D0A2">
            <w:pPr>
              <w:spacing w:line="460" w:lineRule="exact"/>
              <w:jc w:val="left"/>
              <w:rPr>
                <w:rFonts w:hint="default" w:eastAsia="仿宋_GB2312"/>
                <w:color w:val="auto"/>
                <w:highlight w:val="none"/>
                <w:lang w:val="en-US" w:eastAsia="zh-CN"/>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val="en-US" w:eastAsia="zh-CN"/>
              </w:rPr>
              <w:t>服务地点</w:t>
            </w:r>
          </w:p>
          <w:p w14:paraId="7AA3BA7F">
            <w:pPr>
              <w:spacing w:line="460" w:lineRule="exact"/>
              <w:jc w:val="left"/>
              <w:rPr>
                <w:rFonts w:hint="eastAsia" w:eastAsiaTheme="minorEastAsia"/>
                <w:color w:val="auto"/>
                <w:highlight w:val="none"/>
                <w:lang w:eastAsia="zh-CN"/>
              </w:rPr>
            </w:pPr>
          </w:p>
          <w:p w14:paraId="201F5C2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rPr>
              <w:t>、投标报价要求</w:t>
            </w:r>
          </w:p>
          <w:p w14:paraId="0402FEB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kern w:val="0"/>
                <w:sz w:val="24"/>
                <w:szCs w:val="24"/>
                <w:highlight w:val="none"/>
              </w:rPr>
            </w:pPr>
          </w:p>
          <w:p w14:paraId="4F34D749">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四</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服务费用与付款方式</w:t>
            </w:r>
          </w:p>
          <w:p w14:paraId="22EE66B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highlight w:val="none"/>
              </w:rPr>
            </w:pPr>
          </w:p>
          <w:p w14:paraId="3832C83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color w:val="auto"/>
                <w:sz w:val="24"/>
                <w:szCs w:val="24"/>
                <w:highlight w:val="none"/>
              </w:rPr>
              <w:t>四</w:t>
            </w:r>
            <w:r>
              <w:rPr>
                <w:rFonts w:hint="eastAsia" w:ascii="仿宋_GB2312" w:hAnsi="仿宋_GB2312" w:eastAsia="仿宋_GB2312" w:cs="仿宋_GB2312"/>
                <w:b/>
                <w:color w:val="auto"/>
                <w:sz w:val="24"/>
                <w:szCs w:val="24"/>
                <w:highlight w:val="none"/>
                <w:lang w:eastAsia="zh-CN"/>
              </w:rPr>
              <w:t>、</w:t>
            </w:r>
            <w:r>
              <w:rPr>
                <w:rFonts w:hint="eastAsia" w:ascii="仿宋_GB2312" w:hAnsi="仿宋_GB2312" w:eastAsia="仿宋_GB2312" w:cs="仿宋_GB2312"/>
                <w:b/>
                <w:bCs/>
                <w:color w:val="auto"/>
                <w:kern w:val="0"/>
                <w:sz w:val="24"/>
                <w:szCs w:val="24"/>
                <w:highlight w:val="none"/>
                <w:lang w:val="en"/>
              </w:rPr>
              <w:t>违约责任</w:t>
            </w:r>
          </w:p>
          <w:p w14:paraId="77F2D86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val="0"/>
                <w:color w:val="auto"/>
                <w:kern w:val="0"/>
                <w:sz w:val="24"/>
                <w:szCs w:val="24"/>
                <w:highlight w:val="none"/>
                <w:lang w:val="en-US"/>
              </w:rPr>
            </w:pPr>
          </w:p>
          <w:p w14:paraId="4C214BC1">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五</w:t>
            </w:r>
            <w:r>
              <w:rPr>
                <w:rFonts w:hint="eastAsia" w:ascii="仿宋_GB2312" w:hAnsi="仿宋_GB2312" w:eastAsia="仿宋_GB2312" w:cs="仿宋_GB2312"/>
                <w:b/>
                <w:bCs/>
                <w:color w:val="auto"/>
                <w:kern w:val="0"/>
                <w:sz w:val="24"/>
                <w:szCs w:val="24"/>
                <w:highlight w:val="none"/>
                <w:lang w:val="en"/>
              </w:rPr>
              <w:t>、其他要求</w:t>
            </w:r>
            <w:r>
              <w:rPr>
                <w:rFonts w:hint="eastAsia" w:ascii="仿宋_GB2312" w:hAnsi="仿宋_GB2312" w:eastAsia="仿宋_GB2312" w:cs="仿宋_GB2312"/>
                <w:b/>
                <w:bCs/>
                <w:color w:val="auto"/>
                <w:kern w:val="0"/>
                <w:sz w:val="24"/>
                <w:szCs w:val="24"/>
                <w:highlight w:val="none"/>
                <w:lang w:val="en" w:eastAsia="zh-CN"/>
              </w:rPr>
              <w:t>（</w:t>
            </w:r>
            <w:r>
              <w:rPr>
                <w:rFonts w:hint="eastAsia" w:ascii="仿宋_GB2312" w:hAnsi="仿宋_GB2312" w:eastAsia="仿宋_GB2312" w:cs="仿宋_GB2312"/>
                <w:b/>
                <w:bCs/>
                <w:color w:val="auto"/>
                <w:kern w:val="0"/>
                <w:sz w:val="24"/>
                <w:szCs w:val="24"/>
                <w:highlight w:val="none"/>
                <w:lang w:val="en-US" w:eastAsia="zh-CN"/>
              </w:rPr>
              <w:t>若有）</w:t>
            </w:r>
          </w:p>
          <w:p w14:paraId="4DFBACF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highlight w:val="none"/>
                <w:lang w:val="en-US" w:eastAsia="zh-CN"/>
              </w:rPr>
            </w:pPr>
          </w:p>
        </w:tc>
      </w:tr>
      <w:tr w14:paraId="25CE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3" w:type="pct"/>
            <w:noWrap w:val="0"/>
            <w:textDirection w:val="tbRlV"/>
            <w:vAlign w:val="top"/>
          </w:tcPr>
          <w:p w14:paraId="515AE437">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评 审 标 准 </w:t>
            </w:r>
          </w:p>
        </w:tc>
        <w:tc>
          <w:tcPr>
            <w:tcW w:w="4596" w:type="pct"/>
            <w:gridSpan w:val="5"/>
            <w:noWrap w:val="0"/>
            <w:vAlign w:val="top"/>
          </w:tcPr>
          <w:p w14:paraId="026A10A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评审标准</w:t>
            </w:r>
          </w:p>
          <w:p w14:paraId="016DC06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一、评审方法</w:t>
            </w:r>
          </w:p>
          <w:p w14:paraId="4407909F">
            <w:pPr>
              <w:pStyle w:val="3"/>
              <w:rPr>
                <w:rFonts w:hint="eastAsia"/>
                <w:color w:val="auto"/>
                <w:highlight w:val="none"/>
                <w:lang w:val="en-US" w:eastAsia="zh-CN"/>
              </w:rPr>
            </w:pPr>
          </w:p>
          <w:p w14:paraId="0206D59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二、评分因素及权重</w:t>
            </w:r>
          </w:p>
          <w:p w14:paraId="5534EEF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color w:val="auto"/>
                <w:sz w:val="24"/>
                <w:szCs w:val="24"/>
                <w:highlight w:val="none"/>
                <w:lang w:val="en-US" w:eastAsia="zh-CN"/>
              </w:rPr>
            </w:pPr>
          </w:p>
        </w:tc>
      </w:tr>
    </w:tbl>
    <w:p w14:paraId="0163052C">
      <w:pPr>
        <w:spacing w:line="560" w:lineRule="exact"/>
        <w:rPr>
          <w:rFonts w:hint="eastAsia"/>
          <w:color w:val="auto"/>
          <w:sz w:val="32"/>
          <w:szCs w:val="32"/>
          <w:highlight w:val="none"/>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B8CFC-7560-4FEE-BDD7-676D635692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7E40E001-B1FF-44FE-B640-9FE171261F5B}"/>
  </w:font>
  <w:font w:name="仿宋_GB2312">
    <w:panose1 w:val="02010609030101010101"/>
    <w:charset w:val="86"/>
    <w:family w:val="auto"/>
    <w:pitch w:val="default"/>
    <w:sig w:usb0="00000001" w:usb1="080E0000" w:usb2="00000000" w:usb3="00000000" w:csb0="00040000" w:csb1="00000000"/>
    <w:embedRegular r:id="rId3" w:fontKey="{8FF93B18-BD34-4A94-BFC5-CA040DF1EC8B}"/>
  </w:font>
  <w:font w:name="楷体_GB2312">
    <w:panose1 w:val="02010609030101010101"/>
    <w:charset w:val="86"/>
    <w:family w:val="auto"/>
    <w:pitch w:val="default"/>
    <w:sig w:usb0="00000001" w:usb1="080E0000" w:usb2="00000000" w:usb3="00000000" w:csb0="00040000" w:csb1="00000000"/>
    <w:embedRegular r:id="rId4" w:fontKey="{525760F1-33CD-4BB3-BA1D-F2FDB72FC2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846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31AC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31AC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B68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13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9613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1DD1AF8"/>
    <w:rsid w:val="047F6267"/>
    <w:rsid w:val="087157EF"/>
    <w:rsid w:val="09C22703"/>
    <w:rsid w:val="0E4C184A"/>
    <w:rsid w:val="0F442335"/>
    <w:rsid w:val="110F3E53"/>
    <w:rsid w:val="1BDFFEA1"/>
    <w:rsid w:val="205E40A7"/>
    <w:rsid w:val="24C43ACA"/>
    <w:rsid w:val="25CA82CC"/>
    <w:rsid w:val="25FB7637"/>
    <w:rsid w:val="2C956D4E"/>
    <w:rsid w:val="2DCD0D4C"/>
    <w:rsid w:val="337F1F26"/>
    <w:rsid w:val="34E06759"/>
    <w:rsid w:val="3B7CC6AF"/>
    <w:rsid w:val="3C4B786B"/>
    <w:rsid w:val="3CD94B29"/>
    <w:rsid w:val="3DFF0B5D"/>
    <w:rsid w:val="3ED64F25"/>
    <w:rsid w:val="3FDBC1A8"/>
    <w:rsid w:val="3FEF77B5"/>
    <w:rsid w:val="4806685D"/>
    <w:rsid w:val="49624244"/>
    <w:rsid w:val="4B6127C6"/>
    <w:rsid w:val="4BF23701"/>
    <w:rsid w:val="4EEFFE1C"/>
    <w:rsid w:val="4F133CBC"/>
    <w:rsid w:val="4FF47BDD"/>
    <w:rsid w:val="56796A5E"/>
    <w:rsid w:val="56BE1E12"/>
    <w:rsid w:val="5A7010FF"/>
    <w:rsid w:val="5DF90AAA"/>
    <w:rsid w:val="5F77F9E9"/>
    <w:rsid w:val="5FCF9A49"/>
    <w:rsid w:val="63683DF0"/>
    <w:rsid w:val="65BE91BC"/>
    <w:rsid w:val="65BF99AD"/>
    <w:rsid w:val="660730CC"/>
    <w:rsid w:val="68E97DB3"/>
    <w:rsid w:val="69075AE0"/>
    <w:rsid w:val="6AA966E4"/>
    <w:rsid w:val="6FF32A69"/>
    <w:rsid w:val="70035954"/>
    <w:rsid w:val="71624E28"/>
    <w:rsid w:val="719C7804"/>
    <w:rsid w:val="76B03153"/>
    <w:rsid w:val="777433BE"/>
    <w:rsid w:val="778FF684"/>
    <w:rsid w:val="77FF30BF"/>
    <w:rsid w:val="783075F1"/>
    <w:rsid w:val="79DF62E8"/>
    <w:rsid w:val="7B3B00A8"/>
    <w:rsid w:val="7BE3B16B"/>
    <w:rsid w:val="7BFBB628"/>
    <w:rsid w:val="7CDBEC1D"/>
    <w:rsid w:val="7CDF1C79"/>
    <w:rsid w:val="7DDF617C"/>
    <w:rsid w:val="7EFF836B"/>
    <w:rsid w:val="7FE8FC71"/>
    <w:rsid w:val="7FF6C72D"/>
    <w:rsid w:val="7FFD691A"/>
    <w:rsid w:val="88BF9553"/>
    <w:rsid w:val="93FAEBE7"/>
    <w:rsid w:val="93FED669"/>
    <w:rsid w:val="A1DD1AF8"/>
    <w:rsid w:val="A373E373"/>
    <w:rsid w:val="A5FDFB65"/>
    <w:rsid w:val="AF76172D"/>
    <w:rsid w:val="AF7A91A4"/>
    <w:rsid w:val="B7B718A0"/>
    <w:rsid w:val="BEB286E7"/>
    <w:rsid w:val="BEE75484"/>
    <w:rsid w:val="BF0B3590"/>
    <w:rsid w:val="BF7DE70F"/>
    <w:rsid w:val="D79BAF06"/>
    <w:rsid w:val="D7EF10B1"/>
    <w:rsid w:val="DABF3121"/>
    <w:rsid w:val="DDF3E294"/>
    <w:rsid w:val="DE1F7CC9"/>
    <w:rsid w:val="DEF75C93"/>
    <w:rsid w:val="EEF3F48F"/>
    <w:rsid w:val="F7EFF126"/>
    <w:rsid w:val="FADF854A"/>
    <w:rsid w:val="FBDFDB9C"/>
    <w:rsid w:val="FCF785E1"/>
    <w:rsid w:val="FDFB6D93"/>
    <w:rsid w:val="FDFFA381"/>
    <w:rsid w:val="FE5FAF83"/>
    <w:rsid w:val="FEBCD467"/>
    <w:rsid w:val="FEEF6F3B"/>
    <w:rsid w:val="FEF74102"/>
    <w:rsid w:val="FEFE0E8F"/>
    <w:rsid w:val="FF1FF764"/>
    <w:rsid w:val="FFB9C94C"/>
    <w:rsid w:val="FFE7E2B4"/>
    <w:rsid w:val="FFEFCA4A"/>
    <w:rsid w:val="FFFB6F66"/>
    <w:rsid w:val="FFFD27A5"/>
    <w:rsid w:val="FFFF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after="120"/>
    </w:p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5"/>
      <w:szCs w:val="2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082f4e70-a85e-4ab7-a494-61d5f9a2769d</errorID>
      <errorWord>合法正常</errorWord>
      <group>L1_Word</group>
      <groupName>字词问题</groupName>
      <ability>L2_Typo</ability>
      <abilityName>字词错误</abilityName>
      <candidateList>
        <item>合法正当</item>
      </candidateList>
      <explain/>
      <paraID>60D0B7E7</paraID>
      <start>24</start>
      <end>28</end>
      <status>ignored</status>
      <modifiedWord/>
      <trackRevisions>false</trackRevisions>
    </reviewItem>
    <reviewItem>
      <errorID>4379d1f7-226c-4c3f-9669-3d9dc96d7fa1</errorID>
      <errorWord>*</errorWord>
      <group>L1_Punc</group>
      <groupName>标点问题</groupName>
      <ability>L2_Punc</ability>
      <abilityName>标点符号检查</abilityName>
      <candidateList/>
      <explain/>
      <paraID>737BECF6</paraID>
      <start>0</start>
      <end>1</end>
      <status>ignored</status>
      <modifiedWord/>
      <trackRevisions>false</trackRevisions>
    </reviewItem>
    <reviewItem>
      <errorID>c228b03f-af73-4930-acd4-69d47ed2e74e</errorID>
      <errorWord>*</errorWord>
      <group>L1_Punc</group>
      <groupName>标点问题</groupName>
      <ability>L2_Punc</ability>
      <abilityName>标点符号检查</abilityName>
      <candidateList/>
      <explain/>
      <paraID> E11406A</paraID>
      <start>0</start>
      <end>1</end>
      <status>ignored</status>
      <modifiedWord/>
      <trackRevisions>false</trackRevisions>
    </reviewItem>
    <reviewItem>
      <errorID>65809e4b-403d-4f60-a4b4-da11ae9b3b6b</errorID>
      <errorWord>*</errorWord>
      <group>L1_Punc</group>
      <groupName>标点问题</groupName>
      <ability>L2_Punc</ability>
      <abilityName>标点符号检查</abilityName>
      <candidateList/>
      <explain/>
      <paraID>6F7891D5</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2d2e6-db18-4bd9-9dc0-693e2cec330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7850</Words>
  <Characters>7996</Characters>
  <Lines>0</Lines>
  <Paragraphs>0</Paragraphs>
  <TotalTime>3</TotalTime>
  <ScaleCrop>false</ScaleCrop>
  <LinksUpToDate>false</LinksUpToDate>
  <CharactersWithSpaces>8037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2025-12-24T01:04:00Z</dcterms:created>
  <dc:creator>梁邦栋</dc:creator>
  <cp:lastModifiedBy>zyxin</cp:lastModifiedBy>
  <dcterms:modified xsi:type="dcterms:W3CDTF">2026-05-22T07:36:55Z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1B37E4C52ABD469F9E22AE69D545CB86_13</vt:lpwstr>
  </property>
  <property fmtid="{D5CDD505-2E9C-101B-9397-08002B2CF9AE}" pid="4" name="KSOTemplateDocerSaveRecord">
    <vt:lpwstr>eyJoZGlkIjoiOGIzYjBjYWNlMmFjYTJlMDVhYTkwODdmNjJkZWQ0ZjQiLCJ1c2VySWQiOiI0OTA3ODk4NzEifQ==</vt:lpwstr>
  </property>
</Properties>
</file>